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1E" w:rsidRPr="00A4352D" w:rsidRDefault="0026701E" w:rsidP="002670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35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обязательных требований законодательства РФ, выполнение которых является предметом проверок соблюдения законодательства в области муниципального </w:t>
      </w:r>
      <w:proofErr w:type="gramStart"/>
      <w:r w:rsidRPr="00A4352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435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сохранностью автомобильных дорог местного значения.</w:t>
      </w:r>
    </w:p>
    <w:p w:rsidR="00ED75AE" w:rsidRDefault="00ED75AE" w:rsidP="00DA544B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1.4  Административного регламента исполнения муниципальной функции </w:t>
      </w:r>
      <w:r w:rsidRPr="00ED75AE">
        <w:rPr>
          <w:rFonts w:ascii="Times New Roman" w:eastAsia="Times New Roman" w:hAnsi="Times New Roman" w:cs="Times New Roman"/>
          <w:sz w:val="24"/>
          <w:szCs w:val="24"/>
        </w:rPr>
        <w:t>«Осуществление муниципального контроля за обеспечением сохранности автомобильных дорог местного значения городского округа город Стерлитамак Республики Башкортостан»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утверждённого постановлением администрации городского округа город Стерлитамак Республики Башкортостан от 28.9.2017 г. № 2038 </w:t>
      </w:r>
      <w:r>
        <w:rPr>
          <w:rStyle w:val="1"/>
          <w:sz w:val="24"/>
          <w:szCs w:val="24"/>
        </w:rPr>
        <w:t>муниципальный контроль за обеспечением сохранности автомобильных дорог местного значения городского округа город Стерлитамак РБ осуществляется за соблюдением</w:t>
      </w:r>
      <w:r w:rsidR="00DA544B">
        <w:rPr>
          <w:rStyle w:val="1"/>
          <w:sz w:val="24"/>
          <w:szCs w:val="24"/>
        </w:rPr>
        <w:t xml:space="preserve"> субъектами муниципального контроля </w:t>
      </w:r>
      <w:r w:rsidR="00DA544B" w:rsidRPr="00DA544B">
        <w:rPr>
          <w:rStyle w:val="1"/>
          <w:sz w:val="24"/>
          <w:szCs w:val="24"/>
        </w:rPr>
        <w:t>требований</w:t>
      </w:r>
      <w:proofErr w:type="gramEnd"/>
      <w:r w:rsidR="00DA544B" w:rsidRPr="00DA544B">
        <w:rPr>
          <w:rStyle w:val="1"/>
          <w:sz w:val="24"/>
          <w:szCs w:val="24"/>
        </w:rPr>
        <w:t xml:space="preserve">, </w:t>
      </w:r>
      <w:proofErr w:type="gramStart"/>
      <w:r w:rsidR="00DA544B" w:rsidRPr="00DA544B">
        <w:rPr>
          <w:rStyle w:val="1"/>
          <w:sz w:val="24"/>
          <w:szCs w:val="24"/>
        </w:rPr>
        <w:t>установленных</w:t>
      </w:r>
      <w:proofErr w:type="gramEnd"/>
      <w:r w:rsidR="00DA544B" w:rsidRPr="00DA544B">
        <w:rPr>
          <w:rStyle w:val="1"/>
          <w:sz w:val="24"/>
          <w:szCs w:val="24"/>
        </w:rPr>
        <w:t xml:space="preserve"> федеральными законами, нормативными правовыми актами Республики Башкортостан:</w:t>
      </w:r>
    </w:p>
    <w:p w:rsidR="00DA544B" w:rsidRPr="00DA544B" w:rsidRDefault="00DA544B" w:rsidP="00DA544B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1"/>
          <w:sz w:val="24"/>
          <w:szCs w:val="24"/>
        </w:rPr>
      </w:pPr>
      <w:r w:rsidRPr="00DA544B">
        <w:rPr>
          <w:rStyle w:val="1"/>
          <w:sz w:val="24"/>
          <w:szCs w:val="24"/>
        </w:rPr>
        <w:t xml:space="preserve">1) по использованию полос отвода и придорожных </w:t>
      </w:r>
      <w:proofErr w:type="gramStart"/>
      <w:r w:rsidRPr="00DA544B">
        <w:rPr>
          <w:rStyle w:val="1"/>
          <w:sz w:val="24"/>
          <w:szCs w:val="24"/>
        </w:rPr>
        <w:t>полос</w:t>
      </w:r>
      <w:proofErr w:type="gramEnd"/>
      <w:r w:rsidRPr="00DA544B">
        <w:rPr>
          <w:rStyle w:val="1"/>
          <w:sz w:val="24"/>
          <w:szCs w:val="24"/>
        </w:rPr>
        <w:t xml:space="preserve">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 местного значения, а также требований и условий по присоединению объектов дорожного сервиса к автомобильным дорогам местного значения; </w:t>
      </w:r>
    </w:p>
    <w:p w:rsidR="00DA544B" w:rsidRDefault="00DA544B" w:rsidP="00DA544B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1"/>
          <w:sz w:val="24"/>
          <w:szCs w:val="24"/>
        </w:rPr>
      </w:pPr>
      <w:r w:rsidRPr="00DA544B">
        <w:rPr>
          <w:rStyle w:val="1"/>
          <w:sz w:val="24"/>
          <w:szCs w:val="24"/>
        </w:rPr>
        <w:t xml:space="preserve">2)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элементов. </w:t>
      </w:r>
    </w:p>
    <w:p w:rsidR="002C271F" w:rsidRDefault="002C271F" w:rsidP="00DA544B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1"/>
          <w:sz w:val="24"/>
          <w:szCs w:val="24"/>
        </w:rPr>
      </w:pPr>
    </w:p>
    <w:p w:rsidR="002C271F" w:rsidRDefault="002C271F" w:rsidP="00DA544B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Наименования и реквизиты нормативно-правовых актов, регулирующие отношения в части исполнения обязательных требований по обеспечению сохранности автомобильных дорог местного значения.</w:t>
      </w:r>
    </w:p>
    <w:p w:rsidR="00A4352D" w:rsidRPr="00DA544B" w:rsidRDefault="00A4352D" w:rsidP="00DA544B">
      <w:pPr>
        <w:spacing w:before="100" w:beforeAutospacing="1" w:after="100" w:afterAutospacing="1" w:line="240" w:lineRule="auto"/>
        <w:ind w:firstLine="708"/>
        <w:contextualSpacing/>
        <w:jc w:val="both"/>
        <w:rPr>
          <w:rStyle w:val="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3270"/>
        <w:gridCol w:w="2410"/>
        <w:gridCol w:w="3084"/>
      </w:tblGrid>
      <w:tr w:rsidR="00720EFF" w:rsidTr="00A4048F">
        <w:tc>
          <w:tcPr>
            <w:tcW w:w="807" w:type="dxa"/>
            <w:vAlign w:val="center"/>
          </w:tcPr>
          <w:p w:rsidR="00720EFF" w:rsidRPr="00844D77" w:rsidRDefault="00720EFF" w:rsidP="00A40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4D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3270" w:type="dxa"/>
            <w:vAlign w:val="center"/>
          </w:tcPr>
          <w:p w:rsidR="00720EFF" w:rsidRPr="00844D77" w:rsidRDefault="00720EFF" w:rsidP="00A40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20EFF" w:rsidRPr="00844D77" w:rsidRDefault="00720EFF" w:rsidP="00A40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4D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и реквизиты акта</w:t>
            </w:r>
          </w:p>
          <w:p w:rsidR="00720EFF" w:rsidRPr="00844D77" w:rsidRDefault="00720EFF" w:rsidP="00A40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20EFF" w:rsidRPr="00844D77" w:rsidRDefault="00720EFF" w:rsidP="00A40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4D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720EFF" w:rsidRPr="00844D77" w:rsidRDefault="00720EFF" w:rsidP="00A40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4D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контролю</w:t>
            </w:r>
          </w:p>
        </w:tc>
        <w:tc>
          <w:tcPr>
            <w:tcW w:w="3084" w:type="dxa"/>
            <w:vAlign w:val="center"/>
          </w:tcPr>
          <w:p w:rsidR="00720EFF" w:rsidRPr="00844D77" w:rsidRDefault="00720EFF" w:rsidP="00A40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4D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720EFF" w:rsidTr="00A4048F">
        <w:tc>
          <w:tcPr>
            <w:tcW w:w="807" w:type="dxa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12"/>
                <w:szCs w:val="12"/>
              </w:rPr>
            </w:pPr>
            <w:r>
              <w:rPr>
                <w:rStyle w:val="1"/>
                <w:sz w:val="12"/>
                <w:szCs w:val="12"/>
              </w:rPr>
              <w:t>1</w:t>
            </w:r>
          </w:p>
        </w:tc>
        <w:tc>
          <w:tcPr>
            <w:tcW w:w="3270" w:type="dxa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12"/>
                <w:szCs w:val="12"/>
              </w:rPr>
            </w:pPr>
            <w:r>
              <w:rPr>
                <w:rStyle w:val="1"/>
                <w:sz w:val="12"/>
                <w:szCs w:val="12"/>
              </w:rPr>
              <w:t>2</w:t>
            </w:r>
          </w:p>
        </w:tc>
        <w:tc>
          <w:tcPr>
            <w:tcW w:w="2410" w:type="dxa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12"/>
                <w:szCs w:val="12"/>
              </w:rPr>
            </w:pPr>
            <w:r>
              <w:rPr>
                <w:rStyle w:val="1"/>
                <w:sz w:val="12"/>
                <w:szCs w:val="12"/>
              </w:rPr>
              <w:t>3</w:t>
            </w:r>
          </w:p>
        </w:tc>
        <w:tc>
          <w:tcPr>
            <w:tcW w:w="3084" w:type="dxa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12"/>
                <w:szCs w:val="12"/>
              </w:rPr>
            </w:pPr>
            <w:r>
              <w:rPr>
                <w:rStyle w:val="1"/>
                <w:sz w:val="12"/>
                <w:szCs w:val="12"/>
              </w:rPr>
              <w:t>4</w:t>
            </w:r>
          </w:p>
        </w:tc>
      </w:tr>
      <w:tr w:rsidR="00720EFF" w:rsidTr="00A4048F">
        <w:tc>
          <w:tcPr>
            <w:tcW w:w="807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BF4C7A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3270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ind w:firstLine="35"/>
              <w:contextualSpacing/>
              <w:jc w:val="center"/>
              <w:rPr>
                <w:rStyle w:val="1"/>
                <w:sz w:val="20"/>
                <w:szCs w:val="20"/>
              </w:rPr>
            </w:pPr>
            <w:hyperlink r:id="rId5" w:history="1">
              <w:r w:rsidRPr="00BF4C7A">
                <w:rPr>
                  <w:rStyle w:val="1"/>
                  <w:sz w:val="20"/>
                  <w:szCs w:val="20"/>
                </w:rPr>
                <w:t>Земельный кодекс Российской Федерации</w:t>
              </w:r>
              <w:r>
                <w:rPr>
                  <w:rStyle w:val="1"/>
                  <w:sz w:val="20"/>
                  <w:szCs w:val="20"/>
                </w:rPr>
                <w:t xml:space="preserve"> </w:t>
              </w:r>
              <w:r w:rsidRPr="006C607F">
                <w:rPr>
                  <w:rStyle w:val="1"/>
                  <w:sz w:val="20"/>
                  <w:szCs w:val="20"/>
                </w:rPr>
                <w:t>от 25 октября 2001 г. N 136-ФЗ</w:t>
              </w:r>
              <w:r w:rsidRPr="00BF4C7A">
                <w:rPr>
                  <w:rStyle w:val="1"/>
                  <w:sz w:val="20"/>
                  <w:szCs w:val="20"/>
                </w:rPr>
                <w:t>              </w:t>
              </w:r>
            </w:hyperlink>
          </w:p>
          <w:p w:rsidR="00720EFF" w:rsidRPr="00BF4C7A" w:rsidRDefault="00720EFF" w:rsidP="00A4048F">
            <w:pPr>
              <w:spacing w:before="100" w:beforeAutospacing="1" w:after="100" w:afterAutospacing="1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20EFF" w:rsidRPr="00BF4C7A" w:rsidRDefault="00720EFF" w:rsidP="00A40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п.3 </w:t>
            </w:r>
            <w:r w:rsidRPr="00BF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90</w:t>
            </w:r>
          </w:p>
        </w:tc>
        <w:tc>
          <w:tcPr>
            <w:tcW w:w="3084" w:type="dxa"/>
            <w:vAlign w:val="center"/>
          </w:tcPr>
          <w:p w:rsidR="00720EFF" w:rsidRPr="00BF4C7A" w:rsidRDefault="00720EFF" w:rsidP="00A4048F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</w:tr>
      <w:tr w:rsidR="00720EFF" w:rsidRPr="00BF4C7A" w:rsidTr="00A4048F">
        <w:tc>
          <w:tcPr>
            <w:tcW w:w="807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BF4C7A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3270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hyperlink r:id="rId6" w:history="1">
              <w:r w:rsidRPr="00BF4C7A">
                <w:rPr>
                  <w:rStyle w:val="1"/>
                  <w:sz w:val="20"/>
                  <w:szCs w:val="20"/>
                </w:rPr>
                <w:t>Кодекс об административных правонарушениях Российской Федерации</w:t>
              </w:r>
            </w:hyperlink>
            <w:r>
              <w:rPr>
                <w:rStyle w:val="1"/>
                <w:sz w:val="20"/>
                <w:szCs w:val="20"/>
              </w:rPr>
              <w:t xml:space="preserve"> </w:t>
            </w:r>
            <w:r w:rsidRPr="006C607F">
              <w:rPr>
                <w:rStyle w:val="1"/>
                <w:sz w:val="20"/>
                <w:szCs w:val="20"/>
              </w:rPr>
              <w:t>от 30 декабря 2001 г. N 195-ФЗ</w:t>
            </w:r>
          </w:p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BF4C7A">
              <w:rPr>
                <w:rStyle w:val="1"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BF4C7A">
              <w:rPr>
                <w:rStyle w:val="1"/>
                <w:sz w:val="20"/>
                <w:szCs w:val="20"/>
              </w:rPr>
              <w:t>ст. 11.21</w:t>
            </w:r>
          </w:p>
        </w:tc>
        <w:tc>
          <w:tcPr>
            <w:tcW w:w="3084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--- «» ---</w:t>
            </w:r>
          </w:p>
        </w:tc>
      </w:tr>
      <w:tr w:rsidR="00720EFF" w:rsidRPr="00BF4C7A" w:rsidTr="00A4048F">
        <w:tc>
          <w:tcPr>
            <w:tcW w:w="807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BF4C7A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3270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hyperlink r:id="rId7" w:history="1">
              <w:r w:rsidRPr="00BF4C7A">
                <w:rPr>
                  <w:rStyle w:val="1"/>
                  <w:sz w:val="20"/>
                  <w:szCs w:val="20"/>
                </w:rPr>
                <w:t>Градостроительный кодекс Российской Федерации</w:t>
              </w:r>
            </w:hyperlink>
            <w:r>
              <w:rPr>
                <w:rStyle w:val="1"/>
                <w:sz w:val="20"/>
                <w:szCs w:val="20"/>
              </w:rPr>
              <w:t xml:space="preserve"> </w:t>
            </w:r>
            <w:r w:rsidRPr="006C607F">
              <w:rPr>
                <w:rStyle w:val="1"/>
                <w:sz w:val="20"/>
                <w:szCs w:val="20"/>
              </w:rPr>
              <w:t>от 29 декабря 2004 г. N 190-ФЗ</w:t>
            </w:r>
          </w:p>
        </w:tc>
        <w:tc>
          <w:tcPr>
            <w:tcW w:w="2410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ст. 19,23</w:t>
            </w:r>
          </w:p>
        </w:tc>
        <w:tc>
          <w:tcPr>
            <w:tcW w:w="3084" w:type="dxa"/>
            <w:vAlign w:val="center"/>
          </w:tcPr>
          <w:p w:rsidR="00720EFF" w:rsidRDefault="00720EFF" w:rsidP="00A4048F">
            <w:pPr>
              <w:jc w:val="center"/>
            </w:pPr>
            <w:r w:rsidRPr="00CC5DB5">
              <w:rPr>
                <w:rStyle w:val="1"/>
                <w:sz w:val="20"/>
                <w:szCs w:val="20"/>
              </w:rPr>
              <w:t>--- «» ---</w:t>
            </w:r>
          </w:p>
        </w:tc>
      </w:tr>
      <w:tr w:rsidR="00720EFF" w:rsidRPr="00BF4C7A" w:rsidTr="00A4048F">
        <w:tc>
          <w:tcPr>
            <w:tcW w:w="807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BF4C7A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3270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hyperlink r:id="rId8" w:history="1">
              <w:r w:rsidRPr="00BF4C7A">
                <w:rPr>
                  <w:rStyle w:val="1"/>
                  <w:sz w:val="20"/>
                  <w:szCs w:val="20"/>
                </w:rPr>
                <w:t>Федеральный закон от 10.12.1995 № 196-ФЗ «О безопасности дорожного движения»</w:t>
              </w:r>
            </w:hyperlink>
          </w:p>
        </w:tc>
        <w:tc>
          <w:tcPr>
            <w:tcW w:w="2410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BF4C7A">
              <w:rPr>
                <w:rStyle w:val="1"/>
                <w:sz w:val="20"/>
                <w:szCs w:val="20"/>
              </w:rPr>
              <w:t>ст. 12,13</w:t>
            </w:r>
          </w:p>
        </w:tc>
        <w:tc>
          <w:tcPr>
            <w:tcW w:w="3084" w:type="dxa"/>
            <w:vAlign w:val="center"/>
          </w:tcPr>
          <w:p w:rsidR="00720EFF" w:rsidRDefault="00720EFF" w:rsidP="00A4048F">
            <w:pPr>
              <w:jc w:val="center"/>
            </w:pPr>
            <w:r w:rsidRPr="00CC5DB5">
              <w:rPr>
                <w:rStyle w:val="1"/>
                <w:sz w:val="20"/>
                <w:szCs w:val="20"/>
              </w:rPr>
              <w:t>--- «» ---</w:t>
            </w:r>
          </w:p>
        </w:tc>
      </w:tr>
      <w:tr w:rsidR="00720EFF" w:rsidRPr="00BF4C7A" w:rsidTr="00A4048F">
        <w:tc>
          <w:tcPr>
            <w:tcW w:w="807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BF4C7A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3270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hyperlink r:id="rId9" w:history="1">
              <w:r w:rsidRPr="00BF4C7A">
                <w:rPr>
                  <w:rStyle w:val="1"/>
                  <w:sz w:val="20"/>
                  <w:szCs w:val="20"/>
                </w:rPr>
                <w:t xml:space="preserve">Федеральный закон от 08.11.2007 № 257-ФЗ «Об автомобильных дорогах и о дорожной деятельности в Российской Федерации и о внесении </w:t>
              </w:r>
              <w:r w:rsidRPr="00BF4C7A">
                <w:rPr>
                  <w:rStyle w:val="1"/>
                  <w:sz w:val="20"/>
                  <w:szCs w:val="20"/>
                </w:rPr>
                <w:lastRenderedPageBreak/>
                <w:t>изменений в отдельные законодательные акты Российской Федерации»</w:t>
              </w:r>
            </w:hyperlink>
          </w:p>
        </w:tc>
        <w:tc>
          <w:tcPr>
            <w:tcW w:w="2410" w:type="dxa"/>
            <w:vAlign w:val="center"/>
          </w:tcPr>
          <w:p w:rsidR="00720EFF" w:rsidRPr="00BF4C7A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BF4C7A">
              <w:rPr>
                <w:rStyle w:val="1"/>
                <w:sz w:val="20"/>
                <w:szCs w:val="20"/>
              </w:rPr>
              <w:lastRenderedPageBreak/>
              <w:t>ст. 13,13.1,19,20,22,25,26,29</w:t>
            </w:r>
          </w:p>
        </w:tc>
        <w:tc>
          <w:tcPr>
            <w:tcW w:w="3084" w:type="dxa"/>
            <w:vAlign w:val="center"/>
          </w:tcPr>
          <w:p w:rsidR="00720EFF" w:rsidRDefault="00720EFF" w:rsidP="00A4048F">
            <w:pPr>
              <w:jc w:val="center"/>
            </w:pPr>
            <w:r w:rsidRPr="00CC5DB5">
              <w:rPr>
                <w:rStyle w:val="1"/>
                <w:sz w:val="20"/>
                <w:szCs w:val="20"/>
              </w:rPr>
              <w:t>--- «» ---</w:t>
            </w:r>
          </w:p>
        </w:tc>
      </w:tr>
      <w:tr w:rsidR="00720EFF" w:rsidRPr="00BF4C7A" w:rsidTr="00A4048F">
        <w:tc>
          <w:tcPr>
            <w:tcW w:w="807" w:type="dxa"/>
            <w:vAlign w:val="center"/>
          </w:tcPr>
          <w:p w:rsidR="00720EFF" w:rsidRPr="001D37BB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1D37BB">
              <w:rPr>
                <w:rStyle w:val="1"/>
                <w:sz w:val="20"/>
                <w:szCs w:val="20"/>
              </w:rPr>
              <w:lastRenderedPageBreak/>
              <w:t>6</w:t>
            </w:r>
          </w:p>
        </w:tc>
        <w:tc>
          <w:tcPr>
            <w:tcW w:w="3270" w:type="dxa"/>
            <w:vAlign w:val="center"/>
          </w:tcPr>
          <w:p w:rsidR="00720EFF" w:rsidRPr="001D37BB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hyperlink r:id="rId10" w:history="1">
              <w:r w:rsidRPr="001D37BB">
                <w:rPr>
                  <w:rStyle w:val="1"/>
                  <w:sz w:val="20"/>
                  <w:szCs w:val="20"/>
                </w:rPr>
                <w:t>Федеральный закон</w:t>
              </w:r>
            </w:hyperlink>
          </w:p>
          <w:p w:rsidR="00720EFF" w:rsidRPr="001D37BB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hyperlink r:id="rId11" w:history="1">
              <w:r w:rsidRPr="001D37BB">
                <w:rPr>
                  <w:rStyle w:val="1"/>
                  <w:sz w:val="20"/>
                  <w:szCs w:val="20"/>
                </w:rPr>
                <w:t>от 26.12.2008 № 294-ФЗ</w:t>
              </w:r>
            </w:hyperlink>
          </w:p>
          <w:p w:rsidR="00720EFF" w:rsidRPr="001D37BB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hyperlink r:id="rId12" w:history="1">
              <w:r w:rsidRPr="001D37BB">
                <w:rPr>
                  <w:rStyle w:val="1"/>
                  <w:sz w:val="20"/>
                  <w:szCs w:val="20"/>
                </w:rPr>
                <w:t xml:space="preserve">«О защите прав юридических лиц и индивидуальных предпринимателей при осуществлении </w:t>
              </w:r>
              <w:proofErr w:type="gramStart"/>
              <w:r w:rsidRPr="001D37BB">
                <w:rPr>
                  <w:rStyle w:val="1"/>
                  <w:sz w:val="20"/>
                  <w:szCs w:val="20"/>
                </w:rPr>
                <w:t>государственного</w:t>
              </w:r>
              <w:proofErr w:type="gramEnd"/>
            </w:hyperlink>
          </w:p>
          <w:p w:rsidR="00720EFF" w:rsidRPr="001D37BB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hyperlink r:id="rId13" w:history="1">
              <w:r w:rsidRPr="001D37BB">
                <w:rPr>
                  <w:rStyle w:val="1"/>
                  <w:sz w:val="20"/>
                  <w:szCs w:val="20"/>
                </w:rPr>
                <w:t>контроля (надзора) и муниципального контроля»</w:t>
              </w:r>
            </w:hyperlink>
          </w:p>
        </w:tc>
        <w:tc>
          <w:tcPr>
            <w:tcW w:w="2410" w:type="dxa"/>
            <w:vAlign w:val="center"/>
          </w:tcPr>
          <w:p w:rsidR="00720EFF" w:rsidRPr="001D37BB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1D37BB">
              <w:rPr>
                <w:rStyle w:val="1"/>
                <w:sz w:val="20"/>
                <w:szCs w:val="20"/>
              </w:rPr>
              <w:t>Оценивается в полном объеме</w:t>
            </w:r>
          </w:p>
        </w:tc>
        <w:tc>
          <w:tcPr>
            <w:tcW w:w="3084" w:type="dxa"/>
            <w:vAlign w:val="center"/>
          </w:tcPr>
          <w:p w:rsidR="00720EFF" w:rsidRDefault="00720EFF" w:rsidP="00A4048F">
            <w:pPr>
              <w:jc w:val="center"/>
            </w:pPr>
            <w:r w:rsidRPr="00CC5DB5">
              <w:rPr>
                <w:rStyle w:val="1"/>
                <w:sz w:val="20"/>
                <w:szCs w:val="20"/>
              </w:rPr>
              <w:t>--- «» ---</w:t>
            </w:r>
          </w:p>
        </w:tc>
      </w:tr>
      <w:tr w:rsidR="00720EFF" w:rsidRPr="00BF4C7A" w:rsidTr="00A4048F">
        <w:tc>
          <w:tcPr>
            <w:tcW w:w="807" w:type="dxa"/>
            <w:vAlign w:val="center"/>
          </w:tcPr>
          <w:p w:rsidR="00720EFF" w:rsidRPr="001D37BB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3270" w:type="dxa"/>
            <w:vAlign w:val="center"/>
          </w:tcPr>
          <w:p w:rsidR="00720EFF" w:rsidRPr="001D37BB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1D37BB">
              <w:rPr>
                <w:rStyle w:val="1"/>
                <w:sz w:val="20"/>
                <w:szCs w:val="20"/>
              </w:rPr>
              <w:t>Постановление Правительства РФ от 29 октября 2009 г. N 860</w:t>
            </w:r>
            <w:r w:rsidRPr="001D37BB">
              <w:rPr>
                <w:rStyle w:val="1"/>
                <w:sz w:val="20"/>
                <w:szCs w:val="20"/>
              </w:rPr>
              <w:br/>
              <w:t>"О требованиях к обеспеченности автомобильных дорог общего пользования объектами дорожного сервиса, размещаемыми в границах полос отвода"</w:t>
            </w:r>
          </w:p>
        </w:tc>
        <w:tc>
          <w:tcPr>
            <w:tcW w:w="2410" w:type="dxa"/>
            <w:vAlign w:val="center"/>
          </w:tcPr>
          <w:p w:rsidR="00720EFF" w:rsidRPr="001D37BB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1D37BB">
              <w:rPr>
                <w:rStyle w:val="1"/>
                <w:sz w:val="20"/>
                <w:szCs w:val="20"/>
              </w:rPr>
              <w:t>Оценивается в полном объеме</w:t>
            </w:r>
          </w:p>
        </w:tc>
        <w:tc>
          <w:tcPr>
            <w:tcW w:w="3084" w:type="dxa"/>
            <w:vAlign w:val="center"/>
          </w:tcPr>
          <w:p w:rsidR="00720EFF" w:rsidRDefault="00720EFF" w:rsidP="00A4048F">
            <w:pPr>
              <w:jc w:val="center"/>
            </w:pPr>
            <w:r w:rsidRPr="00CC5DB5">
              <w:rPr>
                <w:rStyle w:val="1"/>
                <w:sz w:val="20"/>
                <w:szCs w:val="20"/>
              </w:rPr>
              <w:t>--- «» ---</w:t>
            </w:r>
          </w:p>
        </w:tc>
      </w:tr>
      <w:tr w:rsidR="00720EFF" w:rsidRPr="00BF4C7A" w:rsidTr="00A4048F">
        <w:tc>
          <w:tcPr>
            <w:tcW w:w="807" w:type="dxa"/>
            <w:vAlign w:val="center"/>
          </w:tcPr>
          <w:p w:rsidR="00720EFF" w:rsidRPr="001D37BB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bookmarkStart w:id="0" w:name="_GoBack" w:colFirst="1" w:colLast="1"/>
            <w:r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3270" w:type="dxa"/>
            <w:vAlign w:val="center"/>
          </w:tcPr>
          <w:p w:rsidR="00720EFF" w:rsidRPr="00720EFF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color w:val="auto"/>
                <w:sz w:val="20"/>
                <w:szCs w:val="20"/>
              </w:rPr>
            </w:pPr>
            <w:hyperlink r:id="rId14" w:history="1">
              <w:r w:rsidRPr="00720EFF">
                <w:rPr>
                  <w:rStyle w:val="1"/>
                  <w:color w:val="auto"/>
                  <w:sz w:val="20"/>
                  <w:szCs w:val="20"/>
                </w:rPr>
                <w:t>Административный регламент</w:t>
              </w:r>
            </w:hyperlink>
            <w:r w:rsidRPr="00720EFF">
              <w:rPr>
                <w:rStyle w:val="1"/>
                <w:color w:val="auto"/>
                <w:sz w:val="20"/>
                <w:szCs w:val="20"/>
              </w:rPr>
              <w:t xml:space="preserve"> по исполнению муниципальной функции «Осуществление муниципального </w:t>
            </w:r>
            <w:proofErr w:type="gramStart"/>
            <w:r w:rsidRPr="00720EFF">
              <w:rPr>
                <w:rStyle w:val="1"/>
                <w:color w:val="auto"/>
                <w:sz w:val="20"/>
                <w:szCs w:val="20"/>
              </w:rPr>
              <w:t>контроля за</w:t>
            </w:r>
            <w:proofErr w:type="gramEnd"/>
            <w:r w:rsidRPr="00720EFF">
              <w:rPr>
                <w:rStyle w:val="1"/>
                <w:color w:val="auto"/>
                <w:sz w:val="20"/>
                <w:szCs w:val="20"/>
              </w:rPr>
              <w:t xml:space="preserve"> обеспечением сохранности автомобильных дорог местного значения городского округа город Стерлитамак Республики Башкортостан» принят постановлением администрации городского округа город Стерлитамак РБ 28.08.2018 года № 1762 </w:t>
            </w:r>
          </w:p>
        </w:tc>
        <w:tc>
          <w:tcPr>
            <w:tcW w:w="2410" w:type="dxa"/>
            <w:vAlign w:val="center"/>
          </w:tcPr>
          <w:p w:rsidR="00720EFF" w:rsidRPr="001D37BB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1D37BB">
              <w:rPr>
                <w:rStyle w:val="1"/>
                <w:sz w:val="20"/>
                <w:szCs w:val="20"/>
              </w:rPr>
              <w:t>Оценивается в полном объеме</w:t>
            </w:r>
          </w:p>
        </w:tc>
        <w:tc>
          <w:tcPr>
            <w:tcW w:w="3084" w:type="dxa"/>
            <w:vAlign w:val="center"/>
          </w:tcPr>
          <w:p w:rsidR="00720EFF" w:rsidRDefault="00720EFF" w:rsidP="00A4048F">
            <w:pPr>
              <w:jc w:val="center"/>
            </w:pPr>
            <w:r w:rsidRPr="00CC5DB5">
              <w:rPr>
                <w:rStyle w:val="1"/>
                <w:sz w:val="20"/>
                <w:szCs w:val="20"/>
              </w:rPr>
              <w:t>--- «» ---</w:t>
            </w:r>
          </w:p>
        </w:tc>
      </w:tr>
      <w:tr w:rsidR="00720EFF" w:rsidRPr="00BF4C7A" w:rsidTr="00A4048F">
        <w:tc>
          <w:tcPr>
            <w:tcW w:w="807" w:type="dxa"/>
            <w:vAlign w:val="center"/>
          </w:tcPr>
          <w:p w:rsidR="00720EFF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3270" w:type="dxa"/>
            <w:vAlign w:val="center"/>
          </w:tcPr>
          <w:p w:rsidR="00720EFF" w:rsidRPr="00720EFF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color w:val="auto"/>
                <w:sz w:val="20"/>
                <w:szCs w:val="20"/>
              </w:rPr>
            </w:pPr>
            <w:r w:rsidRPr="00720EFF">
              <w:rPr>
                <w:rStyle w:val="1"/>
                <w:color w:val="auto"/>
                <w:sz w:val="20"/>
                <w:szCs w:val="20"/>
              </w:rPr>
              <w:t>ПОРЯДОК</w:t>
            </w:r>
            <w:r w:rsidRPr="00720EFF">
              <w:rPr>
                <w:rStyle w:val="1"/>
                <w:color w:val="auto"/>
                <w:sz w:val="20"/>
                <w:szCs w:val="20"/>
              </w:rPr>
              <w:br/>
              <w:t xml:space="preserve">осуществления муниципального </w:t>
            </w:r>
            <w:proofErr w:type="gramStart"/>
            <w:r w:rsidRPr="00720EFF">
              <w:rPr>
                <w:rStyle w:val="1"/>
                <w:color w:val="auto"/>
                <w:sz w:val="20"/>
                <w:szCs w:val="20"/>
              </w:rPr>
              <w:t>контроля за</w:t>
            </w:r>
            <w:proofErr w:type="gramEnd"/>
            <w:r w:rsidRPr="00720EFF">
              <w:rPr>
                <w:rStyle w:val="1"/>
                <w:color w:val="auto"/>
                <w:sz w:val="20"/>
                <w:szCs w:val="20"/>
              </w:rPr>
              <w:t xml:space="preserve"> обеспечением сохранности автомобильных дорог местного значения городского округа город Стерлитамак Республики Башкортостан принят постановлением администрации городского округа город Стерлитамак РБ 28.09.2017 года № 2037.</w:t>
            </w:r>
          </w:p>
          <w:p w:rsidR="00720EFF" w:rsidRPr="00720EFF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20EFF" w:rsidRPr="001D37BB" w:rsidRDefault="00720EFF" w:rsidP="00A4048F">
            <w:pPr>
              <w:spacing w:before="100" w:beforeAutospacing="1" w:after="100" w:afterAutospacing="1"/>
              <w:contextualSpacing/>
              <w:jc w:val="center"/>
              <w:rPr>
                <w:rStyle w:val="1"/>
                <w:sz w:val="20"/>
                <w:szCs w:val="20"/>
              </w:rPr>
            </w:pPr>
            <w:r w:rsidRPr="001D37BB">
              <w:rPr>
                <w:rStyle w:val="1"/>
                <w:sz w:val="20"/>
                <w:szCs w:val="20"/>
              </w:rPr>
              <w:t>Оценивается в полном объеме</w:t>
            </w:r>
          </w:p>
        </w:tc>
        <w:tc>
          <w:tcPr>
            <w:tcW w:w="3084" w:type="dxa"/>
            <w:vAlign w:val="center"/>
          </w:tcPr>
          <w:p w:rsidR="00720EFF" w:rsidRDefault="00720EFF" w:rsidP="00A4048F">
            <w:pPr>
              <w:jc w:val="center"/>
            </w:pPr>
            <w:r w:rsidRPr="00CC5DB5">
              <w:rPr>
                <w:rStyle w:val="1"/>
                <w:sz w:val="20"/>
                <w:szCs w:val="20"/>
              </w:rPr>
              <w:t>--- «» ---</w:t>
            </w:r>
          </w:p>
        </w:tc>
      </w:tr>
      <w:bookmarkEnd w:id="0"/>
    </w:tbl>
    <w:p w:rsidR="00052ADE" w:rsidRDefault="00052ADE" w:rsidP="00A4352D">
      <w:pPr>
        <w:spacing w:before="100" w:beforeAutospacing="1" w:after="100" w:afterAutospacing="1" w:line="240" w:lineRule="auto"/>
        <w:contextualSpacing/>
        <w:jc w:val="both"/>
      </w:pPr>
    </w:p>
    <w:sectPr w:rsidR="0005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52"/>
    <w:rsid w:val="0002063F"/>
    <w:rsid w:val="00052ADE"/>
    <w:rsid w:val="001806ED"/>
    <w:rsid w:val="0026701E"/>
    <w:rsid w:val="002C271F"/>
    <w:rsid w:val="003459EB"/>
    <w:rsid w:val="00565355"/>
    <w:rsid w:val="00720EFF"/>
    <w:rsid w:val="007A1DD8"/>
    <w:rsid w:val="007E441E"/>
    <w:rsid w:val="00825C70"/>
    <w:rsid w:val="009B6C4C"/>
    <w:rsid w:val="00A4352D"/>
    <w:rsid w:val="00AA7D28"/>
    <w:rsid w:val="00AF6801"/>
    <w:rsid w:val="00BB5E52"/>
    <w:rsid w:val="00D4186A"/>
    <w:rsid w:val="00DA544B"/>
    <w:rsid w:val="00E64BE0"/>
    <w:rsid w:val="00ED75AE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206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063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20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">
    <w:name w:val="comment"/>
    <w:basedOn w:val="a0"/>
    <w:rsid w:val="00D4186A"/>
  </w:style>
  <w:style w:type="character" w:customStyle="1" w:styleId="1">
    <w:name w:val="Основной текст1"/>
    <w:basedOn w:val="a0"/>
    <w:uiPriority w:val="99"/>
    <w:rsid w:val="00ED75AE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Default">
    <w:name w:val="Default"/>
    <w:rsid w:val="00DA5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2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206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063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20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1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">
    <w:name w:val="comment"/>
    <w:basedOn w:val="a0"/>
    <w:rsid w:val="00D4186A"/>
  </w:style>
  <w:style w:type="character" w:customStyle="1" w:styleId="1">
    <w:name w:val="Основной текст1"/>
    <w:basedOn w:val="a0"/>
    <w:uiPriority w:val="99"/>
    <w:rsid w:val="00ED75AE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Default">
    <w:name w:val="Default"/>
    <w:rsid w:val="00DA5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2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EE%F2+10.12.1995+%B9+196-%D4%C7+&amp;sort=-1" TargetMode="External"/><Relationship Id="rId13" Type="http://schemas.openxmlformats.org/officeDocument/2006/relationships/hyperlink" Target="http://pravo.gov.ru/proxy/ips/?searchres=&amp;bpas=cd00000&amp;intelsearch=%D4%E5%E4%E5%F0%E0%EB%FC%ED%FB%E9+%E7%E0%EA%EE%ED+%EE%F2+26.12.2008+%B9+294-%D4%C7&amp;sort=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C3%F0%E0%E4%EE%F1%F2%F0%EE%E8%F2%E5%EB%FC%ED%FB%E9+%EA%EE%E4%E5%EA%F1&amp;sort=-1" TargetMode="External"/><Relationship Id="rId12" Type="http://schemas.openxmlformats.org/officeDocument/2006/relationships/hyperlink" Target="http://pravo.gov.ru/proxy/ips/?searchres=&amp;bpas=cd00000&amp;intelsearch=%D4%E5%E4%E5%F0%E0%EB%FC%ED%FB%E9+%E7%E0%EA%EE%ED+%EE%F2+26.12.2008+%B9+294-%D4%C7&amp;sort=-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A%EE%E4%E5%EA%F1+%EE%E1+%E0%E4%EC%E8%ED%E8%F1%F2%F0%E0%F2%E8%E2%ED%FB%F5+%EF%F0%E0%E2%EE%ED%E0%F0%F3%F8%E5%ED%E8%FF%F5+%D0%EE%F1%F1%E8%E9%F1%EA%EE%E9+%D4%E5%E4%E5%F0%E0%F6%E8%E8&amp;sort=-1" TargetMode="External"/><Relationship Id="rId11" Type="http://schemas.openxmlformats.org/officeDocument/2006/relationships/hyperlink" Target="http://pravo.gov.ru/proxy/ips/?searchres=&amp;bpas=cd00000&amp;intelsearch=%D4%E5%E4%E5%F0%E0%EB%FC%ED%FB%E9+%E7%E0%EA%EE%ED+%EE%F2+26.12.2008+%B9+294-%D4%C7&amp;sort=-1" TargetMode="External"/><Relationship Id="rId5" Type="http://schemas.openxmlformats.org/officeDocument/2006/relationships/hyperlink" Target="http://pravo.gov.ru/proxy/ips/?searchres=&amp;bpas=cd00000&amp;intelsearch=%C7%E5%EC%E5%EB%FC%ED%FB%E9+%EA%EE%E4%E5%EA%F1&amp;sort=-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searchres=&amp;bpas=cd00000&amp;intelsearch=%D4%E5%E4%E5%F0%E0%EB%FC%ED%FB%E9+%E7%E0%EA%EE%ED+%EE%F2+26.12.2008+%B9+294-%D4%C7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%EE%F2+08.11.2007+%B9+257-%D4%C7+&amp;sort=-1" TargetMode="External"/><Relationship Id="rId14" Type="http://schemas.openxmlformats.org/officeDocument/2006/relationships/hyperlink" Target="https://duki.khabkrai.ru/Rukovodstvo/Administraciya/Normativno-pravovye-akty/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2018-07-05T10:12:00Z</dcterms:created>
  <dcterms:modified xsi:type="dcterms:W3CDTF">2019-01-23T07:07:00Z</dcterms:modified>
</cp:coreProperties>
</file>