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DA" w:rsidRPr="003443DA" w:rsidRDefault="003443DA" w:rsidP="003443DA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3443DA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ОБЗОР ИЗМЕНЕНИЙ ФЕДЕРАЛЬНОГО ЗАКОНОДАТЕЛЬСТВА, РЕГУЛИРУЮЩЕГО ОТНОШЕНИЯ В СФЕРЕ ДОЛЕВОГО СТРОИТЕЛЬСТВА ЖИЛЬЯ, ВСТУПИВШИХ В СИЛУ 25.12.2018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 законом от 25.12.2018 № 478-ФЗ (далее – Закон № 478-ФЗ) внесены изменения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 214-ФЗ) и отдельные законодательные акты Российской Федерации.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 изменения вступили в силу 25.12.2018 (с учетом особенностей установленных статьей 8 Закона № 478-ФЗ) и заключаются в следующем: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Солидарная ответственность застройщика и лиц, имеющих возможность определять его действия, заменена </w:t>
      </w:r>
      <w:proofErr w:type="gram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субсидиарную 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(ч. 4 ст. 23.2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Лицо, в том числе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бенефициарный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владелец, имеющее фактическую возможность определять действия застройщика, в том числе возможность давать указания лицу, осуществляющему функции единоличного исполнительного органа, или члену коллегиальных органов управления застройщика, несет субсидиарную ответственность с застройщиком за убытки, причиненные по их вине гражданам - участникам долевого строительства.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Ранее действующая редакция Закона предусматривала солидарную ответственность.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Отменены плановые проверки застройщиков и увеличены основания для внеплановых проверок, которые проводятся без уведомления застройщика (ч. ч. 10, 12, 13 ст. 23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Плановые проверки застройщиков отменены.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Расширен перечень оснований для проведения внеплановых проверок без предварительного уведомления застройщика и с направлением извещения в прокуратуру.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Теперь к таким основаниям относятся: поручения Президента РФ, Правительства РФ или органа государственной власти субъекта РФ; истечение срока исполнения предписания контролирующего органа; выявление признаков нарушения обязательных требований в ходе анализа отчетности застройщика; отклонение застройщика от примерного графика реализации проекта строительства на 6 и более месяцев; требование прокурора.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Снижены требования к минимальному опыту застройщика 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абз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2 ч. 1 ст. 2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Вместо требуемых предыдущей редакцией закона 10 000 м</w:t>
      </w:r>
      <w:proofErr w:type="gramStart"/>
      <w:r w:rsidRPr="003443DA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построенного жилья минимальный опыт застройщика для получения права привлечения средств дольщиков теперь составляет 5 000 м</w:t>
      </w:r>
      <w:r w:rsidRPr="003443DA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2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Требования к минимальному стажу не изменились – не менее 3-х лет.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Закреплен принцип открытия счетов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уполномоченном банке, в котором застройщиком получен целевой кредит (ч. 1.1 ст. 15.4 Закона 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случае если строительство осуществляется застройщиком за счет средств целевого кредита, участники долевого строительства вносят денежные средства в счет уплаты цены 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договоров участия в долевом строительстве на счета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открытые в уполномоченном банке, который предоставил такой целевой кредит.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рефинансировании (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перекредитовании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застройщиком целевого кредита счета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договорам участия в долевом строительстве, заключенным после этого, открываются в банке, который предоставил такое рефинансирование.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Введена обязанность застройщика уведомлять о наличии оснований для одностороннего отказа дольщика от договора участия в долевом строительстве (ч. 7.1 ст. 15.4, ч. 12, ст. 15.5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наступлении оснований для отказа дольщика от договора участия в долевом строительстве, обусловленных требованием кредитора досрочно исполнить обязательства по кредитному договору (договору займа) и об обращении взыскания на предметы залога, застройщик обязан в течение 5 рабочих дней уведомить об этом банк, в котором открыты счета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 разместить информацию в Единой информационной системе жилищного строительства (далее - ЕИСЖС).</w:t>
      </w:r>
      <w:proofErr w:type="gramEnd"/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свою очередь банк в течение 10 дней информирует дольщика – владельца счета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наличии таких оснований для одностороннего отказа.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Отмена залога в случае привлечения средств дольщиков на счета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(ч. 1 ст. 13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Правила о переходе дольщикам в залог земельного участка под застройку или прав на него, а также объектов недвижимости, возводимых на нем, не применяются в случае, когда средства дольщиков привлекаются застройщиком с использованием счетов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Конкретизировано понятие «целевой кредит (целевой заем)» (ч. 4 ст. 2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Целевой кредит (целевой заем) - это кредит или заем на строительство в соответствии с условиями договора между застройщиком и кредитором (банком или учредителем (участником) застройщика), который может быть использован только на цели строительства, а также кредит, предоставленный в целях рефинансирования указанного кредита или займа.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целевой заем, предоставляемый всеми учредителями (участниками) застройщика, не должен превышать двадцать процентов от планируемой стоимости строительства, указанной в проектной декларации, при условии, что проценты по такому целевому займу не превышают действовавшую на дату заключения договора займа ключевую ставку Центрального банка Российской Федерации, увеличенную на два процентных пункта.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Установлены ограничения для размещения сре</w:t>
      </w:r>
      <w:proofErr w:type="gram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с р</w:t>
      </w:r>
      <w:proofErr w:type="gram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асчетного счета застройщика на депозиты (п. 12 ч. 1 ст. 18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 временно свободных денежных средств на депозите на банковском счете, открытом в уполномоченном банке, в котором открыт расчетный счет застройщика, допускается при условии, что денежные средства и начисленные по такому депозиту проценты подлежат возврату на расчетный счет застройщика, с которого указанные денежные средства размещались.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 Введена возможность оплаты с расчетного счета застройщика расходов, связанных с эксплуатацией жилых и нежилых помещений,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машино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-мест в построенном доме (п. 19.1 ч. 1 ст. 18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расчетного счета застройщика допускается оплата расходов, связанных с содержанием жилых и (или) нежилых помещений,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машино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-мест, в том числе плата за коммунальные услуги, в многоквартирном доме и (или) ином объекте недвижимости, со дня получения разрешения на ввод в эксплуатацию таких объектов недвижимости, если право собственности на указанные помещения не зарегистрировано.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К целевым расходам средств дольщиков отнесены дополнительные платежи по кредитам (п. 10 ч. 1 ст. 18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Ранее с расчетного счета застройщика допускалась только уплата процентов и погашение основной суммы долга по целевым кредитам на строительство многоквартирных домов и (или) иных объектов недвижимости. Теперь добавлены предусмотренные кредитным 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договором иные платежи (в том числе связанные с предоставлением кредита), а также целевые займы (основная сумма долга и проценты), за исключением неустойки (штрафа, пеней) за нарушение условий договора целевого займа.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Уточнен порядок расчета лимита по авансовым платежам 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(ч. 4 ст. 18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Совокупный размер всех авансовых платежей в целях строительства объекта недвижимости, сетей инженерно-технического обеспечения, подготовки проектной документации и выполнения инженерных изысканий, документации по планировке территории, строительства и (или) реконструкция в границах такой территории объектов инженерно-технической инфраструктуры, объектов социальной инфраструктуры не должен превышать 30% от проектной стоимости строительства.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ограничение в 30% относится к общей сумме авансовых платежей, поэтому размер авансов по каждому договору застройщик определяет самостоятельно.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Уточнены формулировки положений, регламентирующих момент, с которого застройщик может использовать средства дольщиков по своему усмотрению (ч. 7 ст. 18.2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ввода объекта в эксплуатацию и государственной регистрации права собственности в отношении одного объекта, входящего в состав каждого дома, возводимого в пределах одного разрешения на строительство, уполномоченный банк прекращает контроль соответствия назначения и размера платежей по расчетному счету застройщика.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Уточнен запрет на операции с наличными деньгами по расчетному счету застройщика (ч. 5 ст. 18.2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 запрет на снятие с расчетного счета застройщика или зачисление на такой счет денежных средств в наличной форме, за исключением случаев, когда на счет зачисляются, снимаются или возвращаются наличные деньги на оплату труда и соответствующих налогов и взносов.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Установлены условия заключения договоров участия в долевом строительстве после ввода дома в эксплуатацию и до его кадастрового учета 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(ч. 7.1 ст. 18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Застройщик может заключать договоры участия </w:t>
      </w:r>
      <w:proofErr w:type="gram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долевом строительстве в период между датой получения разрешения на ввод объекта в эксплуатацию</w:t>
      </w:r>
      <w:proofErr w:type="gram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постановкой объекта на кадастровый учет. В случае заключения таких договоров требования закона об использовании счетов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уплате взносов в компенсационный фонд не применяются.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Введена обязанность ЖСК размещать информацию в ЕИСЖС 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(ч. 6 ст. 8 Закона № 478-ФЗ).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Всю информацию, предусмотренную ст. 123.1 Жилищного кодекса РФ, жилищно-строительные кооперативы теперь должны размещать не в ГИС ЖКХ, а в ЕИСЖС. Такая обязанность возникает у ЖСК по истечении 9 месяцев после вступления изменений в силу, то есть с 25.09.2019. До истечения 9 месяцев оператор ЕИСЖС и ГИС ЖКХ обязаны обеспечить возможность передачи данными системами информации и документов.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Введена обязанность уплаты взносов в Фонд по объектам, по которым ранее исполнение обязательств застройщика обеспечивалось страхованием гражданской ответственности застройщика (ч. 14 ст. 8 Закона № 478-ФЗ).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представленным после 25.12.2018 на государственную регистрацию договорам участия в долевом строительстве застройщик уплачивает взносы в компенсационный фонд в случае, если первый договор участия в долевом строительстве по дому представлен на государственную регистрацию до регистрации Фонда, и исполнение обязательств застройщика обеспечивается страхованием или поручительством банка. Если гражданская ответственность застройщика застрахована в отношении всего дома, то эти нормы не применяются.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17. Прочие уточняющие корректировки норм: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уточнен порядок распределения платежей в рамках договоров о развитии застроенной территории и договоров о комплексном освоении территории (п. п. 7, 8 ч. 1 ст. 18 Закона № 214-ФЗ);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 расчетного счета застройщика зарплата оплачивается при одновременной уплате налогов и взносов, в том случае, если такая уплата предусмотрена законом (п. 17 ч. 1 ст. 18 Закона № 214-ФЗ);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число расчетных счетов застройщика не должно превышать число разрешений на строительство (ч. 2.3 ст. 3 Закона № 214-ФЗ);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застройщик не вправе осуществлять одновременное привлечение средств дольщиков по нескольким градостроительным планам земельного участка или утвержденным проектам планировки территории (ч. 1.1 ст. 3 Закона № 214-ФЗ).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Регламентация норм переходного периода: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Ускоренный переход на счета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(ч. 16 ст. 8 Закона № 478-ФЗ).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Предыдущими правками было предусмотрено, что переход на обязательное использование счетов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привлечении средств дольщиков будет произведен в отношении проектов, первый договор участия в долевом строительстве по которым будет представлен на государственную регистрацию после 01.07.2019. Вместе с тем, Закон № 478-ФЗ предусматривает, что обязательное использование счетов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вводится для всех договоров участия в долевом строительстве, представленных на государственную регистрацию после 01.07.2019. Исключения составят только для проектов, которые соответствуют критериям, определяющим степень готовности объекта и количество заключенных договоров участия в долевом строительстве. Методика соответствия критериям устанавливается Правительством РФ.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Ограничение возможности привлечения средств дольщиков для жилищно-строительных кооперативов.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новой редакции ст. 8 Федерального закона 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ЖСК могут привлекать средства дольщиков только по разрешениям на строительство, выданным до 01.07.2018.</w:t>
      </w:r>
      <w:proofErr w:type="gram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Ранее ограничения распространялись на ЖСК, созданные до этой даты, вне зависимости от даты разрешения.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Скорректирован порядок применения норм закона для застройщиков, получивших разрешения на строительство до 1 июля 2018 года.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Скорректировано применение норм «переходного периода» Закона № 214-ФЗ (ч. ч. 7-9, 10.1 ст. 8 Федерального закона 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Федерации»).</w:t>
      </w:r>
      <w:proofErr w:type="gramEnd"/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частности, указано, что договоры участия в долевом строительстве, заключенные застройщиками, получившими разрешения на строительство до 01.07.2018, оплачиваются только в безналичном порядке.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Отдельные нормы, например, требования к открытию расчетных счетов застройщика, применяются такими застройщиками с учетом оговоренных особенностей, а положения о целевом использовании средств дольщиков применяются в старой редакции.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Четко определен перечень операций, запрещенных для проведения по расчетному счету застройщиков, получивших разрешения на строительство до 1 июля 2018 года. Эти ограничения не распространяются на исполнение обязательств, возникших до 01.07.2018.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Урегулированы обязательства банка в отношении таких операций. Четко зафиксировано, что все расчеты по строительству объекта осуществляются по расчетному счету застройщика. 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Обязанность по открытию расчетного счета в уполномоченном банке не распространяется на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техзаказчика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генподрядчика. Урегулировано право застройщика, получившего разрешение на строительство до 1 июля 2018 года, изменить уполномоченный банк.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Изменение законодательства о банкротстве (несостоятельности):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Регламентация особенностей банкротства ЖСК (ч. 2 ст. 8 Закона </w:t>
      </w: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№ 478-ФЗ).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Федеральный закон от 26.10.2002 № 127-ФЗ «О несостоятельности (банкротстве)» введена статья 201.15-4 об особенностях банкротства жилищно-строительных кооперативов. Положения данной статьи применяются арбитражными судами при рассмотрении дел о банкротстве жилищно-строительных кооперативов, производство по которым возбуждено после 25.12.2018.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Обеспечение прав дольщиков, заключивших ДДУ в отношении небольших нежилых помещений и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машино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-мест, при банкротстве застройщика (ч. 5 ст. 8 Закона № 478-ФЗ).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банкротстве застройщиков специальные правила предъявления требований распространены не только на жилые помещения в многоквартирном доме, но и на нежилые помещения площадью не более 7 м</w:t>
      </w:r>
      <w:proofErr w:type="gramStart"/>
      <w:r w:rsidRPr="003443DA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(кладовки) и на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машино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-места. Реестр требований жилых помещений заменен на реестр требований участников строительства.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Уточнение порядка достройки объектов застройщика-банкрота.</w:t>
      </w:r>
    </w:p>
    <w:p w:rsidR="003443DA" w:rsidRPr="003443DA" w:rsidRDefault="003443DA" w:rsidP="003443D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передаче прав и обязательств в отношении проблемных объектов приобретатель принимает на себя не только объект незаверенного строительства, но и права на земельный участок с находящимися на нем неотделимыми улучшениями, а также права на проектную документацию и права по договорам, заключенным с проектной организацией, генподрядчиком и (или) </w:t>
      </w:r>
      <w:proofErr w:type="spellStart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техзаказчиком</w:t>
      </w:r>
      <w:proofErr w:type="spellEnd"/>
      <w:r w:rsidRPr="00344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положения об урегулировании обязательств застройщика по строительству объектов инфраструктуры добавлены объекты инженерно-технического обеспечения; уточнен порядок государственной регистрации прав на такие объекты. В целях финансирования завершения строительства Фонд может заключать договоры (ДДУ), права по которым не могут быть уступлены до ввода дома в эксплуатацию, а страхование гражданской ответственности застройщика и уплата взносов в компенсационный фонд не производятся.</w:t>
      </w:r>
    </w:p>
    <w:p w:rsidR="00140EC8" w:rsidRDefault="003443DA">
      <w:r>
        <w:t xml:space="preserve">Старший помощник прокурора </w:t>
      </w:r>
      <w:bookmarkStart w:id="0" w:name="_GoBack"/>
      <w:bookmarkEnd w:id="0"/>
      <w:r>
        <w:t>Киреев Н.З.</w:t>
      </w:r>
    </w:p>
    <w:sectPr w:rsidR="0014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DC"/>
    <w:rsid w:val="00140EC8"/>
    <w:rsid w:val="003443DA"/>
    <w:rsid w:val="004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2341</Words>
  <Characters>13345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2019-06-23T09:45:00Z</dcterms:created>
  <dcterms:modified xsi:type="dcterms:W3CDTF">2019-06-23T09:45:00Z</dcterms:modified>
</cp:coreProperties>
</file>