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7E" w:rsidRPr="001A7D35" w:rsidRDefault="000F6E7E" w:rsidP="001A7D3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A7D35">
        <w:rPr>
          <w:rFonts w:ascii="Times New Roman" w:eastAsia="Times New Roman" w:hAnsi="Times New Roman" w:cs="Times New Roman"/>
          <w:sz w:val="28"/>
          <w:szCs w:val="28"/>
        </w:rPr>
        <w:t>Правила торговли пиротехникой</w:t>
      </w:r>
      <w:r w:rsidR="001A7D35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6E7E" w:rsidRPr="000F6E7E" w:rsidRDefault="000F6E7E" w:rsidP="000F6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E7E" w:rsidRDefault="000F6E7E" w:rsidP="000F6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7E">
        <w:rPr>
          <w:rFonts w:ascii="Times New Roman" w:eastAsia="Times New Roman" w:hAnsi="Times New Roman" w:cs="Times New Roman"/>
          <w:sz w:val="28"/>
          <w:szCs w:val="28"/>
        </w:rPr>
        <w:t xml:space="preserve">Основным нормативным актом, регулирующим правила торговли пиротехническими изделиями, является постановление Правительства Российской Федерации № 1052 от 22.12.2009 «Об утверждении требований пожарной безопасности при распространении и использовании пиротехнических изделий». Лицензии либо специального разрешения на торговлю пиротехникой 1-3 класса потенциальной опасности (так называемые пиротехнические изделия бытового назначения) не требуется. Торговля пиротехникой разрешена только официально зарегистрированным юридическим лицам и индивидуальным предпринимателям и если в отношении них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 </w:t>
      </w:r>
    </w:p>
    <w:p w:rsidR="000F6E7E" w:rsidRDefault="000F6E7E" w:rsidP="000F6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7E">
        <w:rPr>
          <w:rFonts w:ascii="Times New Roman" w:eastAsia="Times New Roman" w:hAnsi="Times New Roman" w:cs="Times New Roman"/>
          <w:sz w:val="28"/>
          <w:szCs w:val="28"/>
        </w:rPr>
        <w:t xml:space="preserve">К продаваемым пиротехническим изделиям в обязательном порядке должны иметься сертификаты соответствия (товарно-сопроводительные документы), которые выдаются и заверяются изготовителем либо продавцом, у которого пиротехника приобреталась для дальнейшей реализации. </w:t>
      </w:r>
    </w:p>
    <w:p w:rsidR="000F6E7E" w:rsidRPr="000F6E7E" w:rsidRDefault="000F6E7E" w:rsidP="000F6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6E7E">
        <w:rPr>
          <w:rFonts w:ascii="Times New Roman" w:eastAsia="Times New Roman" w:hAnsi="Times New Roman" w:cs="Times New Roman"/>
          <w:sz w:val="28"/>
          <w:szCs w:val="28"/>
        </w:rPr>
        <w:t>ыездную (лоточную) торговлю юридические лица или ИП согласовывают с администрацией населенного пункта (составляется договор, схема размещения, требования к оборудованию и т.п.). Условия торговли с лотков, а также в магазинах, павильонах должны исключать попадание на изделия атмосферных осадков и прямых солнечных лучей. Торговля в магазине разрешена, если он не находится в жилом доме. Если магазин имеет два и более этажа, то торговля разрешается только на последнем этаже. Обязательное требование — отсутствие доступа к пиротехнике покупателей. Витрины должны давать возможность ознакомления с надписями на изделиях и исключать любые действия покупателей с изделиями, кроме визуального осмотра. Если торговля осуществляется в магазине самообслуживания, то пиротехнические изделия должны находиться в отдельной секции с обязательным постоянным наличием продавца-консультанта. Складские помещения для хранения пиротехники разрешены в магазинах площадью не менее 25 м.кв. В подвалах хранение пиротехники запрещено. Запрещено хранение пиротехники с другими товарами. Торговые помещения должны быть оборудованы средствами пожарной сигнализации и первичными средствами пожаротушения.</w:t>
      </w:r>
    </w:p>
    <w:p w:rsidR="000F6E7E" w:rsidRPr="000F6E7E" w:rsidRDefault="000F6E7E" w:rsidP="000F6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7E">
        <w:rPr>
          <w:rFonts w:ascii="Times New Roman" w:eastAsia="Times New Roman" w:hAnsi="Times New Roman" w:cs="Times New Roman"/>
          <w:sz w:val="28"/>
          <w:szCs w:val="28"/>
        </w:rPr>
        <w:t>Запрещено:</w:t>
      </w:r>
    </w:p>
    <w:p w:rsidR="000F6E7E" w:rsidRPr="000F6E7E" w:rsidRDefault="000F6E7E" w:rsidP="000F6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7E">
        <w:rPr>
          <w:rFonts w:ascii="Times New Roman" w:eastAsia="Times New Roman" w:hAnsi="Times New Roman" w:cs="Times New Roman"/>
          <w:sz w:val="28"/>
          <w:szCs w:val="28"/>
        </w:rPr>
        <w:t>— продавать пиротехнические изделия лицам, не достигшим 16-летнего возраста (если производителем не установлено другое возрастное ограничение);</w:t>
      </w:r>
    </w:p>
    <w:p w:rsidR="000F6E7E" w:rsidRPr="000F6E7E" w:rsidRDefault="000F6E7E" w:rsidP="000F6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E7E">
        <w:rPr>
          <w:rFonts w:ascii="Times New Roman" w:eastAsia="Times New Roman" w:hAnsi="Times New Roman" w:cs="Times New Roman"/>
          <w:sz w:val="28"/>
          <w:szCs w:val="28"/>
        </w:rPr>
        <w:t>—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0F6E7E" w:rsidRPr="001A7D35" w:rsidRDefault="000F6E7E" w:rsidP="000F6E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D35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пиротехнических изделий с нарушением требований постановления № 1052 влечет административную ответственность по части </w:t>
      </w:r>
      <w:hyperlink r:id="rId5" w:history="1">
        <w:r w:rsidRPr="001A7D35">
          <w:rPr>
            <w:rFonts w:ascii="Times New Roman" w:eastAsia="Times New Roman" w:hAnsi="Times New Roman" w:cs="Times New Roman"/>
            <w:sz w:val="28"/>
            <w:szCs w:val="28"/>
          </w:rPr>
          <w:t>1 статьи 20.4</w:t>
        </w:r>
      </w:hyperlink>
      <w:r w:rsidRPr="001A7D35">
        <w:rPr>
          <w:rFonts w:ascii="Times New Roman" w:eastAsia="Times New Roman" w:hAnsi="Times New Roman" w:cs="Times New Roman"/>
          <w:sz w:val="28"/>
          <w:szCs w:val="28"/>
        </w:rPr>
        <w:t> КоАП РФ  (нарушение требований пожарной безопасности) в виде административного штрафа: на граждан в размере от 2000 до 3000 рублей; на должностных лиц — от 6000 до 15 тысяч рублей; на ИП — от 20 тысяч до 30 тысяч рублей; на юридических лиц — от 150 тысяч до 200 тысяч рублей. При выявлении факта недостоверного декларирования соответствия пиротехнической продукции виновные будут наказаны штрафом по </w:t>
      </w:r>
      <w:hyperlink r:id="rId6" w:history="1">
        <w:r w:rsidRPr="001A7D35">
          <w:rPr>
            <w:rFonts w:ascii="Times New Roman" w:eastAsia="Times New Roman" w:hAnsi="Times New Roman" w:cs="Times New Roman"/>
            <w:sz w:val="28"/>
            <w:szCs w:val="28"/>
          </w:rPr>
          <w:t>статье 14.44</w:t>
        </w:r>
      </w:hyperlink>
      <w:r w:rsidRPr="001A7D35">
        <w:rPr>
          <w:rFonts w:ascii="Times New Roman" w:eastAsia="Times New Roman" w:hAnsi="Times New Roman" w:cs="Times New Roman"/>
          <w:sz w:val="28"/>
          <w:szCs w:val="28"/>
        </w:rPr>
        <w:t> КоАП РФ: должностные лица — от 15 тысяч до 25 тысяч рублей, юридические лица — от 100 тысяч до 300 тысяч рублей.</w:t>
      </w:r>
    </w:p>
    <w:p w:rsidR="000F6E7E" w:rsidRDefault="000F6E7E" w:rsidP="000F6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F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E7E"/>
    <w:rsid w:val="000F6E7E"/>
    <w:rsid w:val="001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6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6E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F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6E7E"/>
  </w:style>
  <w:style w:type="character" w:styleId="a4">
    <w:name w:val="Hyperlink"/>
    <w:basedOn w:val="a0"/>
    <w:uiPriority w:val="99"/>
    <w:semiHidden/>
    <w:unhideWhenUsed/>
    <w:rsid w:val="000F6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F0B12DCB80788205877421D4FCE741C75EABFCFFC30090C14287DE5CE8135A0C15CD03CD0qAL4V" TargetMode="External"/><Relationship Id="rId5" Type="http://schemas.openxmlformats.org/officeDocument/2006/relationships/hyperlink" Target="consultantplus://offline/ref=36AF0B12DCB80788205877421D4FCE741C75EABFCFFC30090C14287DE5CE8135A0C15CD033DBqAL0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Application>Microsoft Office Word</Application>
  <DocSecurity>0</DocSecurity>
  <Lines>25</Lines>
  <Paragraphs>7</Paragraphs>
  <ScaleCrop>false</ScaleCrop>
  <Company>Asus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3</cp:revision>
  <dcterms:created xsi:type="dcterms:W3CDTF">2017-12-07T11:52:00Z</dcterms:created>
  <dcterms:modified xsi:type="dcterms:W3CDTF">2017-12-07T12:40:00Z</dcterms:modified>
</cp:coreProperties>
</file>