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F" w:rsidRPr="00E61EB2" w:rsidRDefault="000867FF" w:rsidP="00086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1EB2">
        <w:rPr>
          <w:rFonts w:ascii="Times New Roman" w:hAnsi="Times New Roman" w:cs="Times New Roman"/>
          <w:sz w:val="28"/>
          <w:szCs w:val="28"/>
        </w:rPr>
        <w:t xml:space="preserve">1. Права на земельные участки, предусмотренные </w:t>
      </w:r>
      <w:hyperlink w:anchor="P445" w:history="1">
        <w:r w:rsidRPr="00E61EB2">
          <w:rPr>
            <w:rFonts w:ascii="Times New Roman" w:hAnsi="Times New Roman" w:cs="Times New Roman"/>
            <w:sz w:val="28"/>
            <w:szCs w:val="28"/>
          </w:rPr>
          <w:t>главами III</w:t>
        </w:r>
      </w:hyperlink>
      <w:r w:rsidRPr="00E61EB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5" w:history="1">
        <w:r w:rsidRPr="00E61EB2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E61EB2">
        <w:rPr>
          <w:rFonts w:ascii="Times New Roman" w:hAnsi="Times New Roman" w:cs="Times New Roman"/>
          <w:sz w:val="28"/>
          <w:szCs w:val="28"/>
        </w:rPr>
        <w:t xml:space="preserve"> Земельного Кодекса, удостоверяются документами в порядке, установленном Федеральным </w:t>
      </w:r>
      <w:hyperlink r:id="rId5" w:history="1">
        <w:r w:rsidRPr="00E61E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1EB2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bookmarkEnd w:id="0"/>
    <w:p w:rsidR="00A1280B" w:rsidRPr="00E61EB2" w:rsidRDefault="00A1280B"/>
    <w:sectPr w:rsidR="00A1280B" w:rsidRPr="00E6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38"/>
    <w:rsid w:val="000867FF"/>
    <w:rsid w:val="006E1945"/>
    <w:rsid w:val="008D2D38"/>
    <w:rsid w:val="00A1280B"/>
    <w:rsid w:val="00E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F8C6CAD0C560AA696849E29F46445CCE4C9F8013E83AE7090A5B31D4D9AF6A1E724D546B6898DBE35B81074ECc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 В. Алтынгузин</dc:creator>
  <cp:keywords/>
  <dc:description/>
  <cp:lastModifiedBy>Фаниль В. Алтынгузин</cp:lastModifiedBy>
  <cp:revision>4</cp:revision>
  <dcterms:created xsi:type="dcterms:W3CDTF">2021-12-16T11:06:00Z</dcterms:created>
  <dcterms:modified xsi:type="dcterms:W3CDTF">2022-01-10T06:38:00Z</dcterms:modified>
</cp:coreProperties>
</file>