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06E0F" w14:textId="77777777" w:rsidR="0086741C" w:rsidRDefault="0086741C" w:rsidP="0086741C">
      <w:pPr>
        <w:spacing w:after="0" w:line="240" w:lineRule="auto"/>
        <w:jc w:val="center"/>
        <w:rPr>
          <w:rFonts w:ascii="Times New Roman" w:hAnsi="Times New Roman" w:cs="Times New Roman"/>
          <w:b/>
          <w:bCs/>
          <w:sz w:val="28"/>
          <w:szCs w:val="28"/>
        </w:rPr>
      </w:pPr>
      <w:r w:rsidRPr="0086741C">
        <w:rPr>
          <w:rFonts w:ascii="Times New Roman" w:hAnsi="Times New Roman" w:cs="Times New Roman"/>
          <w:b/>
          <w:bCs/>
          <w:sz w:val="28"/>
          <w:szCs w:val="28"/>
        </w:rPr>
        <w:t xml:space="preserve">Федеральный закон </w:t>
      </w:r>
      <w:r>
        <w:rPr>
          <w:rFonts w:ascii="Times New Roman" w:hAnsi="Times New Roman" w:cs="Times New Roman"/>
          <w:b/>
          <w:bCs/>
          <w:sz w:val="28"/>
          <w:szCs w:val="28"/>
        </w:rPr>
        <w:t xml:space="preserve">от </w:t>
      </w:r>
      <w:r w:rsidRPr="0086741C">
        <w:rPr>
          <w:rFonts w:ascii="Times New Roman" w:hAnsi="Times New Roman" w:cs="Times New Roman"/>
          <w:b/>
          <w:bCs/>
          <w:sz w:val="28"/>
          <w:szCs w:val="28"/>
        </w:rPr>
        <w:t>23</w:t>
      </w:r>
      <w:r>
        <w:rPr>
          <w:rFonts w:ascii="Times New Roman" w:hAnsi="Times New Roman" w:cs="Times New Roman"/>
          <w:b/>
          <w:bCs/>
          <w:sz w:val="28"/>
          <w:szCs w:val="28"/>
        </w:rPr>
        <w:t xml:space="preserve"> </w:t>
      </w:r>
      <w:r w:rsidRPr="0086741C">
        <w:rPr>
          <w:rFonts w:ascii="Times New Roman" w:hAnsi="Times New Roman" w:cs="Times New Roman"/>
          <w:b/>
          <w:bCs/>
          <w:sz w:val="28"/>
          <w:szCs w:val="28"/>
        </w:rPr>
        <w:t>ноября</w:t>
      </w:r>
      <w:r>
        <w:rPr>
          <w:rFonts w:ascii="Times New Roman" w:hAnsi="Times New Roman" w:cs="Times New Roman"/>
          <w:b/>
          <w:bCs/>
          <w:sz w:val="28"/>
          <w:szCs w:val="28"/>
        </w:rPr>
        <w:t xml:space="preserve"> </w:t>
      </w:r>
      <w:r w:rsidRPr="0086741C">
        <w:rPr>
          <w:rFonts w:ascii="Times New Roman" w:hAnsi="Times New Roman" w:cs="Times New Roman"/>
          <w:b/>
          <w:bCs/>
          <w:sz w:val="28"/>
          <w:szCs w:val="28"/>
        </w:rPr>
        <w:t>2009</w:t>
      </w:r>
      <w:r>
        <w:rPr>
          <w:rFonts w:ascii="Times New Roman" w:hAnsi="Times New Roman" w:cs="Times New Roman"/>
          <w:b/>
          <w:bCs/>
          <w:sz w:val="28"/>
          <w:szCs w:val="28"/>
        </w:rPr>
        <w:t xml:space="preserve"> </w:t>
      </w:r>
      <w:r w:rsidRPr="0086741C">
        <w:rPr>
          <w:rFonts w:ascii="Times New Roman" w:hAnsi="Times New Roman" w:cs="Times New Roman"/>
          <w:b/>
          <w:bCs/>
          <w:sz w:val="28"/>
          <w:szCs w:val="28"/>
        </w:rPr>
        <w:t xml:space="preserve">года </w:t>
      </w:r>
      <w:r>
        <w:rPr>
          <w:rFonts w:ascii="Times New Roman" w:hAnsi="Times New Roman" w:cs="Times New Roman"/>
          <w:b/>
          <w:bCs/>
          <w:sz w:val="28"/>
          <w:szCs w:val="28"/>
        </w:rPr>
        <w:t xml:space="preserve">№ </w:t>
      </w:r>
      <w:r w:rsidRPr="0086741C">
        <w:rPr>
          <w:rFonts w:ascii="Times New Roman" w:hAnsi="Times New Roman" w:cs="Times New Roman"/>
          <w:b/>
          <w:bCs/>
          <w:sz w:val="28"/>
          <w:szCs w:val="28"/>
        </w:rPr>
        <w:t>261-ФЗ</w:t>
      </w:r>
      <w:r>
        <w:rPr>
          <w:rFonts w:ascii="Times New Roman" w:hAnsi="Times New Roman" w:cs="Times New Roman"/>
          <w:b/>
          <w:bCs/>
          <w:sz w:val="28"/>
          <w:szCs w:val="28"/>
        </w:rPr>
        <w:t xml:space="preserve"> </w:t>
      </w:r>
    </w:p>
    <w:p w14:paraId="1EE273DD" w14:textId="56F597EB" w:rsidR="0086741C" w:rsidRDefault="0086741C" w:rsidP="0086741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Pr="0086741C">
        <w:rPr>
          <w:rFonts w:ascii="Times New Roman" w:hAnsi="Times New Roman" w:cs="Times New Roman"/>
          <w:b/>
          <w:bCs/>
          <w:sz w:val="28"/>
          <w:szCs w:val="28"/>
        </w:rPr>
        <w:t>ОБ ЭНЕРГОСБЕРЕЖЕНИИ И О ПОВЫШЕНИИ ЭНЕРГЕТИЧЕСКОЙ</w:t>
      </w:r>
      <w:r>
        <w:rPr>
          <w:rFonts w:ascii="Times New Roman" w:hAnsi="Times New Roman" w:cs="Times New Roman"/>
          <w:b/>
          <w:bCs/>
          <w:sz w:val="28"/>
          <w:szCs w:val="28"/>
        </w:rPr>
        <w:t xml:space="preserve"> </w:t>
      </w:r>
      <w:r w:rsidRPr="0086741C">
        <w:rPr>
          <w:rFonts w:ascii="Times New Roman" w:hAnsi="Times New Roman" w:cs="Times New Roman"/>
          <w:b/>
          <w:bCs/>
          <w:sz w:val="28"/>
          <w:szCs w:val="28"/>
        </w:rPr>
        <w:t>ЭФФЕКТИВНОСТИ И О ВНЕСЕНИИ ИЗМЕНЕНИЙ В ОТДЕЛЬНЫЕ</w:t>
      </w:r>
      <w:r>
        <w:rPr>
          <w:rFonts w:ascii="Times New Roman" w:hAnsi="Times New Roman" w:cs="Times New Roman"/>
          <w:b/>
          <w:bCs/>
          <w:sz w:val="28"/>
          <w:szCs w:val="28"/>
        </w:rPr>
        <w:t xml:space="preserve"> </w:t>
      </w:r>
      <w:bookmarkStart w:id="0" w:name="_GoBack"/>
      <w:bookmarkEnd w:id="0"/>
      <w:r w:rsidRPr="0086741C">
        <w:rPr>
          <w:rFonts w:ascii="Times New Roman" w:hAnsi="Times New Roman" w:cs="Times New Roman"/>
          <w:b/>
          <w:bCs/>
          <w:sz w:val="28"/>
          <w:szCs w:val="28"/>
        </w:rPr>
        <w:t>ЗАКОНОДАТЕЛЬНЫЕ АКТЫ РОССИЙСКОЙ ФЕДЕРАЦИИ</w:t>
      </w:r>
      <w:r>
        <w:rPr>
          <w:rFonts w:ascii="Times New Roman" w:hAnsi="Times New Roman" w:cs="Times New Roman"/>
          <w:b/>
          <w:bCs/>
          <w:sz w:val="28"/>
          <w:szCs w:val="28"/>
        </w:rPr>
        <w:t>»</w:t>
      </w:r>
    </w:p>
    <w:p w14:paraId="08900894" w14:textId="77777777" w:rsidR="0086741C" w:rsidRDefault="0086741C" w:rsidP="001017EA">
      <w:pPr>
        <w:spacing w:after="0" w:line="240" w:lineRule="auto"/>
        <w:ind w:firstLine="709"/>
        <w:jc w:val="both"/>
        <w:rPr>
          <w:rFonts w:ascii="Times New Roman" w:hAnsi="Times New Roman" w:cs="Times New Roman"/>
          <w:b/>
          <w:bCs/>
          <w:sz w:val="28"/>
          <w:szCs w:val="28"/>
        </w:rPr>
      </w:pPr>
    </w:p>
    <w:p w14:paraId="47AF5CBC" w14:textId="7083BA53" w:rsidR="001017EA" w:rsidRPr="001017EA" w:rsidRDefault="001017EA" w:rsidP="001017EA">
      <w:pPr>
        <w:spacing w:after="0" w:line="240" w:lineRule="auto"/>
        <w:ind w:firstLine="709"/>
        <w:jc w:val="both"/>
        <w:rPr>
          <w:rFonts w:ascii="Times New Roman" w:hAnsi="Times New Roman" w:cs="Times New Roman"/>
          <w:b/>
          <w:bCs/>
          <w:sz w:val="28"/>
          <w:szCs w:val="28"/>
        </w:rPr>
      </w:pPr>
      <w:r w:rsidRPr="001017EA">
        <w:rPr>
          <w:rFonts w:ascii="Times New Roman" w:hAnsi="Times New Roman" w:cs="Times New Roman"/>
          <w:b/>
          <w:bCs/>
          <w:sz w:val="28"/>
          <w:szCs w:val="28"/>
        </w:rPr>
        <w:t>Статья 11. Обеспечение энергетической эффективности зданий, строений, сооружений</w:t>
      </w:r>
    </w:p>
    <w:p w14:paraId="2D856733"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1. Здания, строения, сооружения, за исключением указанных в части 5 настоящей статьи зданий, строений, сооружений, должны соответствовать требованиям энергетической эффективности, установленным уполномоченным федеральным органом исполнительной власти в соответствии с правилами,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w:t>
      </w:r>
    </w:p>
    <w:p w14:paraId="71D4CD44"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2. Требования энергетической эффективности зданий, строений, сооружений должны включать в себя:</w:t>
      </w:r>
    </w:p>
    <w:p w14:paraId="0BD39D52"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1) показатели, характеризующие удельную величину расхода энергетических ресурсов в здании, строении, сооружении;</w:t>
      </w:r>
    </w:p>
    <w:p w14:paraId="504710C1"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14:paraId="515A9E45"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3) требования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 и в процессе их эксплуатации.</w:t>
      </w:r>
    </w:p>
    <w:p w14:paraId="1C7694F6"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3. В составе требований энергетической эффективности зданий, строений, сооружений должны быть определены требования,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14:paraId="0C3D5752"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14:paraId="7886FA82"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5. Требования энергетической эффективности не распространяются на следующие здания, строения, сооружения:</w:t>
      </w:r>
    </w:p>
    <w:p w14:paraId="6D453E4A"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1) культовые здания, строения, сооружения;</w:t>
      </w:r>
    </w:p>
    <w:p w14:paraId="1473A0D6"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2) здания, строения, сооружения, которые в соответствии с законодательством Российской Федерации отнесены к объектам культурного наследия (памятникам истории и культуры);</w:t>
      </w:r>
    </w:p>
    <w:p w14:paraId="32EDE046"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3) временные постройки, срок службы которых составляет менее чем два года;</w:t>
      </w:r>
    </w:p>
    <w:p w14:paraId="6AC1AF8C"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lastRenderedPageBreak/>
        <w:t>4) объекты индивидуального жилищного строительства, садовые дома;</w:t>
      </w:r>
    </w:p>
    <w:p w14:paraId="6361C84F"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5) строения, сооружения вспомогательного использования;</w:t>
      </w:r>
    </w:p>
    <w:p w14:paraId="394E7310"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6) отдельно стоящие здания, строения, сооружения, общая площадь которых составляет менее чем пятьдесят квадратных метров;</w:t>
      </w:r>
    </w:p>
    <w:p w14:paraId="11A10A07"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7) иные определенные Правительством Российской Федерации здания, строения, сооружения.</w:t>
      </w:r>
    </w:p>
    <w:p w14:paraId="6A0A6085"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14:paraId="2B25AE14"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7.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
    <w:p w14:paraId="5F93EDFC"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органом государственного строительного надзора при осуществлении государственного строительного надзора.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14:paraId="491DC9A4"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9.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w:t>
      </w:r>
    </w:p>
    <w:p w14:paraId="16CD8467"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10.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застройщика 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14:paraId="655D2581" w14:textId="77777777" w:rsidR="001017EA" w:rsidRPr="001017EA" w:rsidRDefault="001017EA" w:rsidP="001017EA">
      <w:pPr>
        <w:spacing w:after="0" w:line="240" w:lineRule="auto"/>
        <w:ind w:firstLine="709"/>
        <w:jc w:val="both"/>
        <w:rPr>
          <w:rFonts w:ascii="Times New Roman" w:hAnsi="Times New Roman" w:cs="Times New Roman"/>
          <w:sz w:val="28"/>
          <w:szCs w:val="28"/>
        </w:rPr>
      </w:pPr>
    </w:p>
    <w:p w14:paraId="4174A7A5" w14:textId="77777777" w:rsidR="001017EA" w:rsidRPr="001017EA" w:rsidRDefault="001017EA" w:rsidP="001017EA">
      <w:pPr>
        <w:spacing w:after="0" w:line="240" w:lineRule="auto"/>
        <w:ind w:firstLine="709"/>
        <w:jc w:val="both"/>
        <w:rPr>
          <w:rFonts w:ascii="Times New Roman" w:hAnsi="Times New Roman" w:cs="Times New Roman"/>
          <w:b/>
          <w:bCs/>
          <w:sz w:val="28"/>
          <w:szCs w:val="28"/>
        </w:rPr>
      </w:pPr>
      <w:r w:rsidRPr="001017EA">
        <w:rPr>
          <w:rFonts w:ascii="Times New Roman" w:hAnsi="Times New Roman" w:cs="Times New Roman"/>
          <w:b/>
          <w:bCs/>
          <w:sz w:val="28"/>
          <w:szCs w:val="28"/>
        </w:rPr>
        <w:lastRenderedPageBreak/>
        <w:t>Статья 12. Обеспечение энергосбережения и повышения энергетической эффективности в жилищном фонде, на территориях ведения гражданами садоводства или огородничества для собственных нужд</w:t>
      </w:r>
    </w:p>
    <w:p w14:paraId="292E2F9C"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1.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правилами определения класса энергетической эффективности многоквартирных домов, требования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14:paraId="6BE549C3"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Требования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14:paraId="564BB2BA"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3. 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правил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14:paraId="78476D04"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 xml:space="preserve">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принципами,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Лицо, ответственное за </w:t>
      </w:r>
      <w:r w:rsidRPr="001017EA">
        <w:rPr>
          <w:rFonts w:ascii="Times New Roman" w:hAnsi="Times New Roman" w:cs="Times New Roman"/>
          <w:sz w:val="28"/>
          <w:szCs w:val="28"/>
        </w:rPr>
        <w:lastRenderedPageBreak/>
        <w:t>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энергосервисного договора (контракта), обеспечивающего снижение объема используемых в многоквартирном доме энергетических ресурсов.</w:t>
      </w:r>
    </w:p>
    <w:p w14:paraId="672E3B32"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5.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14:paraId="73A1DA08"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1) необязательность таких мероприятий для проведения их лицами, которым данный перечень мероприятий адресован;</w:t>
      </w:r>
    </w:p>
    <w:p w14:paraId="23366230"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энергосервисного договора (контракта), и прогнозируемую стоимость проведения таких отдельных мероприятий;</w:t>
      </w:r>
    </w:p>
    <w:p w14:paraId="786199E2"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14:paraId="53597A1F"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6. 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форма перечня таких мероприятий утверждается уполномоченным федеральным органом исполнительной власти.</w:t>
      </w:r>
    </w:p>
    <w:p w14:paraId="2AAEDD64"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 xml:space="preserve">7.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w:t>
      </w:r>
      <w:r w:rsidRPr="001017EA">
        <w:rPr>
          <w:rFonts w:ascii="Times New Roman" w:hAnsi="Times New Roman" w:cs="Times New Roman"/>
          <w:sz w:val="28"/>
          <w:szCs w:val="28"/>
        </w:rPr>
        <w:lastRenderedPageBreak/>
        <w:t>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14:paraId="11700EE9"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8.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требований к 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14:paraId="12F8C25C"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9.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правил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p>
    <w:p w14:paraId="2E787371"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10. Уполномоченный федеральный орган исполнительной власти утверждает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w:t>
      </w:r>
    </w:p>
    <w:p w14:paraId="149A8CFD"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w:t>
      </w:r>
    </w:p>
    <w:p w14:paraId="3D43BCD3" w14:textId="77777777" w:rsidR="001017EA" w:rsidRPr="001017EA" w:rsidRDefault="001017EA" w:rsidP="001017EA">
      <w:pPr>
        <w:spacing w:after="0" w:line="240" w:lineRule="auto"/>
        <w:ind w:firstLine="709"/>
        <w:jc w:val="both"/>
        <w:rPr>
          <w:rFonts w:ascii="Times New Roman" w:hAnsi="Times New Roman" w:cs="Times New Roman"/>
          <w:sz w:val="28"/>
          <w:szCs w:val="28"/>
        </w:rPr>
      </w:pPr>
    </w:p>
    <w:p w14:paraId="718E0469" w14:textId="014D5702" w:rsidR="001017EA" w:rsidRPr="001017EA" w:rsidRDefault="001017EA" w:rsidP="001017EA">
      <w:pPr>
        <w:spacing w:after="0" w:line="240" w:lineRule="auto"/>
        <w:ind w:firstLine="709"/>
        <w:jc w:val="both"/>
        <w:rPr>
          <w:rFonts w:ascii="Times New Roman" w:hAnsi="Times New Roman" w:cs="Times New Roman"/>
          <w:b/>
          <w:bCs/>
          <w:sz w:val="28"/>
          <w:szCs w:val="28"/>
        </w:rPr>
      </w:pPr>
      <w:r w:rsidRPr="001017EA">
        <w:rPr>
          <w:rFonts w:ascii="Times New Roman" w:hAnsi="Times New Roman" w:cs="Times New Roman"/>
          <w:b/>
          <w:bCs/>
          <w:sz w:val="28"/>
          <w:szCs w:val="28"/>
        </w:rPr>
        <w:t>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14:paraId="704C324B"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 xml:space="preserve">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w:t>
      </w:r>
      <w:r w:rsidRPr="001017EA">
        <w:rPr>
          <w:rFonts w:ascii="Times New Roman" w:hAnsi="Times New Roman" w:cs="Times New Roman"/>
          <w:sz w:val="28"/>
          <w:szCs w:val="28"/>
        </w:rPr>
        <w:lastRenderedPageBreak/>
        <w:t>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Требования к характеристикам приборов учета используемых энергетических ресурсов определяются в соответствии с законодательством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объекты, подлежащие сносу или капитальному ремонту, а также объекты,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 на многоквартирные дома, физический износ основных конструктивных элементов которых превышает семьдесят процентов и которые не включены в соответствии с жилищным законодательством в региональную программу капитального ремонта общего имущества в многоквартирных домах в связи с принятием нормативным правовым актом субъекта Российской Федерации решения об их сносе или реконструкции, на многоквартирные дома, которые включены в программу реновации жилищного фонда, осуществляемой в соответствии с федеральным законом, и в которых мероприятия, выполняемые в соответствии с указанной программой, должны быть реализованы в течение трех лет.</w:t>
      </w:r>
    </w:p>
    <w:p w14:paraId="43E8D8DB"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 xml:space="preserve">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энергосервисного договора (контракта). До установки приборов учета используемых энергетических 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w:t>
      </w:r>
      <w:r w:rsidRPr="001017EA">
        <w:rPr>
          <w:rFonts w:ascii="Times New Roman" w:hAnsi="Times New Roman" w:cs="Times New Roman"/>
          <w:sz w:val="28"/>
          <w:szCs w:val="28"/>
        </w:rPr>
        <w:lastRenderedPageBreak/>
        <w:t>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p w14:paraId="56D4245F"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и ввод установленных приборов учета в эксплуатацию. Для Республики Крым и города федерального значения Севастополя мероприятия по оснащению зданий, строений, сооружений, указанных в настоящей части, приборами учета используемых воды, тепловой энергии, электрической энергии и ввод установленных приборов учета в эксплуатацию проводятся до 1 января 2019 года, а по оснащению приборами учета используемого природного газа и ввод установленных приборов учета в эксплуатацию - до 1 января 2021 года.</w:t>
      </w:r>
    </w:p>
    <w:p w14:paraId="2134068A"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частях 3, 5 и 6 настоящей статьи,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14:paraId="63EBAF3A"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4.1. Для Республики Крым и города федерального значения Севастополя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частях 3, 5 и 6 настоящей статьи, обязаны завершить оснащение таких объектов приборами учета используемых воды, тепловой энергии, электрической энергии и ввод установленных приборов учета в эксплуатацию до 1 января 2019 года, а оснащение приборами учета используемого природного газа и ввод установленных приборов учета в эксплуатацию до 1 января 2021 года.</w:t>
      </w:r>
    </w:p>
    <w:p w14:paraId="2C450838"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 xml:space="preserve">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w:t>
      </w:r>
      <w:r w:rsidRPr="001017EA">
        <w:rPr>
          <w:rFonts w:ascii="Times New Roman" w:hAnsi="Times New Roman" w:cs="Times New Roman"/>
          <w:sz w:val="28"/>
          <w:szCs w:val="28"/>
        </w:rPr>
        <w:lastRenderedPageBreak/>
        <w:t>индивидуальными и общими (для коммунальной квартиры) приборами учета используемых воды, электрической энергии.</w:t>
      </w:r>
    </w:p>
    <w:p w14:paraId="490F56C6"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5.1. До 1 января 2015 года, а для Республики Крым и города федерального значения Севастополя до 1 января 2021 года собственники объектов, указанных в части 5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w:t>
      </w:r>
    </w:p>
    <w:p w14:paraId="22C66F89"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5.2. Обязанность, предусмотренная частью 5.1 настоящей статьи, не распространяется на собственников жилых домов и помещений в многоквартирном доме, отапливаемых без использования газоиспользующего оборудования.</w:t>
      </w:r>
    </w:p>
    <w:p w14:paraId="0406D46D"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14:paraId="213D4152"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p>
    <w:p w14:paraId="7DCD4655"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3 - 6.1 настоящей статьи. Многоквартирные дома, вводимые в эксплуатацию с 1 января 2012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14:paraId="50DBE730"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 xml:space="preserve">8. Действия по установке, замене, эксплуатации приборов учета используемых энергетических ресурсов вправе осуществлять лица, отвечающие требованиям, </w:t>
      </w:r>
      <w:r w:rsidRPr="001017EA">
        <w:rPr>
          <w:rFonts w:ascii="Times New Roman" w:hAnsi="Times New Roman" w:cs="Times New Roman"/>
          <w:sz w:val="28"/>
          <w:szCs w:val="28"/>
        </w:rPr>
        <w:lastRenderedPageBreak/>
        <w:t>установленным законодательством Российской Федерации для осуществления таких действий. До 1 января 2019 года собственники объектов, которые указаны в частях 3 - 7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используемой тепловой энергии, указанными в частях 3 - 7 настоящей статьи, а также ввод установленных приборов учета в эксплуатацию. Правила коммерческого учета тепловой энергии, теплоносителя, утверждаемые Правительством Российской Федерации, могут устанавливать особенности учета тепловой энергии, теплоносителя, а также особенности исполнения обязанности по оснащению объектов, указанных в частях 3 - 7 настоящей статьи, приборами учета.</w:t>
      </w:r>
    </w:p>
    <w:p w14:paraId="1AFB2A8B"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ставки рефинансирования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Порядок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частями 5 - 6.1 настоящей статьи,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w:t>
      </w:r>
      <w:r w:rsidRPr="001017EA">
        <w:rPr>
          <w:rFonts w:ascii="Times New Roman" w:hAnsi="Times New Roman" w:cs="Times New Roman"/>
          <w:sz w:val="28"/>
          <w:szCs w:val="28"/>
        </w:rPr>
        <w:lastRenderedPageBreak/>
        <w:t>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14:paraId="66F020FA"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10. До 1 июля 2010 года, а для Республики Крым и города федерального значения Севастополя до 1 января 2019 года организации, указанные в части 9 настоящей статьи, обязаны предоставить собственникам жилых домов, указанных в части 5 настоящей статьи,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части 6 настоящей статьи, предложения об оснащении объектов, указанных в частях 5 и 6 настоящей статьи, приборами учета используемых энергетических ресурсов, снабжение которыми или передачу которых осуществляют указанные организации. Примерная форма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продажу энергетических ресурсов для объектов, указанных в частях 5 и 6 настоящей статьи, осуществляет на основании публичного договора отличная от указанных в части 9 настоящей статьи организация, не позднее 1 июля 2010 года, а для Республики Крым и города федерального значения Севастополя не позднее 1 января 2019 года она обязана предоставить собственникам жилых домов, указанных в части 5 настоящей статьи,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части 6 настоящей статьи, полученную из общедоступных источников информацию о возможных исполнителях услуг по оснащению объектов, указанных в частях 5 и 6 настоящей статьи,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а для Республики Крым и города федерального значения Севастополя до 1 января 2019 года лицам, указанным в частях 5.1 и 6.1 настоящей статьи, предложения об оснащении таких объектов приборами учета природного газа. В отношении объектов, которые указаны в частях 3 - 7 настоящей статьи и максимальный объем потребления тепловой энергии которых составляет менее чем две десятых гигакалории в час, предложения об оснащении таких объектов приборами учета используемой тепловой энергии должны быть представлены не позднее 1 июля 2018 года.</w:t>
      </w:r>
    </w:p>
    <w:p w14:paraId="702E2147"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 xml:space="preserve">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w:t>
      </w:r>
      <w:r w:rsidRPr="001017EA">
        <w:rPr>
          <w:rFonts w:ascii="Times New Roman" w:hAnsi="Times New Roman" w:cs="Times New Roman"/>
          <w:sz w:val="28"/>
          <w:szCs w:val="28"/>
        </w:rPr>
        <w:lastRenderedPageBreak/>
        <w:t>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14:paraId="34BF8FD6" w14:textId="77777777" w:rsidR="001017EA"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 xml:space="preserve">12. До 1 января 2012 года, а для Республики Крым и города федерального значения Севастополя до 1 января 2019 года (в отношении объектов, предусмотренных частями 3 и 4 настоящей статьи), до 1 июля 2013 года, а для Республики Крым и города федерального значения Севастополя до 1 января 2019 года (в отношении объектов, предусмотренных частями 5 и 6 настоящей статьи,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до 1 января 2021 года (в отношении объектов, предусмотренных частями 3 - 7 настоящей статьи, максимальный объем потребления тепловой энергии которых составляет менее чем две десятых гигакалории в час) и до 1 января 2019 года, а для Республики Крым и города федерального значения Севастополя до 1 января 2021 года (в отношении объектов, предусмотренных частями 5.1 и 6.1 настоящей статьи, в части оснащения их приборами учета используемого природного газа) организации, указанные в части 9 настоящей статьи,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частей 3 - 6.1 и 8 настоящей статьи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и не должно препятствовать вводу их в эксплуатацию.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садовых домов, граждане - собственники помещений в многоквартирных домах, не исполнившие в установленный срок обязанностей, предусмотренных частями 5 - 6.1 и 8 настоящей статьи,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w:t>
      </w:r>
      <w:r w:rsidRPr="001017EA">
        <w:rPr>
          <w:rFonts w:ascii="Times New Roman" w:hAnsi="Times New Roman" w:cs="Times New Roman"/>
          <w:sz w:val="28"/>
          <w:szCs w:val="28"/>
        </w:rPr>
        <w:lastRenderedPageBreak/>
        <w:t>в размере ставки рефинансирования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а для Республики Крым и города федерального значения Севастополя после 1 января 2019 года (в отношении объектов, указанных в частях 3 и 4 настоящей статьи, и введенных в эксплуатацию после дня вступления в силу настоящего Федерального закона аналогичных объектов), после 1 июля 2013 года, а для Республики Крым и города федерального значения Севастополя после 1 января 2019 года (в отношении предусмотренных частями 5 и 6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после 1 января 2021 года (в отношении объектов, предусмотренных частями 3 - 7 настоящей статьи, максимальный объем потребления тепловой энергии которых составляет менее чем две десятых гигакалории в час, и введенных в эксплуатацию после дня вступления в силу настоящего Федерального закона аналогичных объектов) и после 1 января 2019 года, а для Республики Крым и города федерального значения Севастополя после 1 января 2021 года (в отношении предусмотренных частями 5.1 и 6.1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неустранения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неустранении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или лица, являющиеся собственниками объектов, на которых установлены эти приборы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14:paraId="6768343D" w14:textId="2E703EDF" w:rsidR="003868DE" w:rsidRPr="001017EA" w:rsidRDefault="001017EA" w:rsidP="001017EA">
      <w:pPr>
        <w:spacing w:after="0" w:line="240" w:lineRule="auto"/>
        <w:ind w:firstLine="709"/>
        <w:jc w:val="both"/>
        <w:rPr>
          <w:rFonts w:ascii="Times New Roman" w:hAnsi="Times New Roman" w:cs="Times New Roman"/>
          <w:sz w:val="28"/>
          <w:szCs w:val="28"/>
        </w:rPr>
      </w:pPr>
      <w:r w:rsidRPr="001017EA">
        <w:rPr>
          <w:rFonts w:ascii="Times New Roman" w:hAnsi="Times New Roman" w:cs="Times New Roman"/>
          <w:sz w:val="28"/>
          <w:szCs w:val="28"/>
        </w:rPr>
        <w:t>13. В части организации учета используемой электрической энергии предусмотренные настоящей статьей требования к организации и обеспечению учета электрической энергии, в том числе к приборам учета электрической энергии, порядку их установки, замены, эксплуатации, а также к расчетным способам определения количества электрической энергии подлежат применению, если иные требования не установлены Федеральным законом от 26 марта 2003 года N 35-ФЗ "Об электроэнергетике".</w:t>
      </w:r>
    </w:p>
    <w:sectPr w:rsidR="003868DE" w:rsidRPr="001017EA" w:rsidSect="001017EA">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36D"/>
    <w:rsid w:val="001017EA"/>
    <w:rsid w:val="003868DE"/>
    <w:rsid w:val="004C5670"/>
    <w:rsid w:val="0086741C"/>
    <w:rsid w:val="00A82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B4C51"/>
  <w15:chartTrackingRefBased/>
  <w15:docId w15:val="{BA19775B-13F9-4875-88FC-090085CA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6030</Words>
  <Characters>34375</Characters>
  <Application>Microsoft Office Word</Application>
  <DocSecurity>0</DocSecurity>
  <Lines>286</Lines>
  <Paragraphs>80</Paragraphs>
  <ScaleCrop>false</ScaleCrop>
  <Company/>
  <LinksUpToDate>false</LinksUpToDate>
  <CharactersWithSpaces>40325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Краснова</dc:creator>
  <cp:keywords/>
  <dc:description/>
  <cp:lastModifiedBy>Светлана В. Краснова</cp:lastModifiedBy>
  <cp:revision>4</cp:revision>
  <dcterms:created xsi:type="dcterms:W3CDTF">2021-12-24T06:32:00Z</dcterms:created>
  <dcterms:modified xsi:type="dcterms:W3CDTF">2021-12-24T07:13:00Z</dcterms:modified>
</cp:coreProperties>
</file>