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FD" w:rsidRPr="00B317FD" w:rsidRDefault="00B317FD" w:rsidP="00B317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17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Замена административного штрафа предупреждением</w:t>
      </w:r>
      <w:bookmarkStart w:id="0" w:name="_GoBack"/>
      <w:bookmarkEnd w:id="0"/>
    </w:p>
    <w:p w:rsidR="00B317FD" w:rsidRPr="00B317FD" w:rsidRDefault="00B317FD" w:rsidP="00B317FD">
      <w:pPr>
        <w:pStyle w:val="a3"/>
        <w:rPr>
          <w:sz w:val="28"/>
          <w:szCs w:val="28"/>
        </w:rPr>
      </w:pPr>
      <w:r w:rsidRPr="00B317FD">
        <w:rPr>
          <w:sz w:val="28"/>
          <w:szCs w:val="28"/>
        </w:rPr>
        <w:t xml:space="preserve">Гострудинспекция напоминает работодателям, что замена административного штрафа предупреждением возможна при соблюдении определенных условий, установленных Кодексом об административных правонарушениях. Ключевым фактором является то, что правонарушение должно быть совершено впервые и не должно представлять серьезной угрозы для жизни и здоровья работников, имуществу, окружающей среде, другим охраняемым интересам. </w:t>
      </w:r>
    </w:p>
    <w:p w:rsidR="00B317FD" w:rsidRPr="00B317FD" w:rsidRDefault="00B317FD" w:rsidP="00B317FD">
      <w:pPr>
        <w:pStyle w:val="a3"/>
        <w:rPr>
          <w:sz w:val="28"/>
          <w:szCs w:val="28"/>
        </w:rPr>
      </w:pPr>
      <w:r w:rsidRPr="00B317FD">
        <w:rPr>
          <w:sz w:val="28"/>
          <w:szCs w:val="28"/>
        </w:rPr>
        <w:t xml:space="preserve">Решение о замене штрафа на предупреждение принимается должностным лицом ГИТ, рассматривающим дело об административном правонарушении. При этом учитываются характер совершенного правонарушения, его имущественное положение, а также другие смягчающие обстоятельства. </w:t>
      </w:r>
    </w:p>
    <w:p w:rsidR="00B317FD" w:rsidRPr="00B317FD" w:rsidRDefault="00B317FD" w:rsidP="00B317FD">
      <w:pPr>
        <w:pStyle w:val="a3"/>
        <w:rPr>
          <w:sz w:val="28"/>
          <w:szCs w:val="28"/>
        </w:rPr>
      </w:pPr>
      <w:r w:rsidRPr="00B317FD">
        <w:rPr>
          <w:sz w:val="28"/>
          <w:szCs w:val="28"/>
        </w:rPr>
        <w:t>Кроме того, напоминаем, что есть возможность уплаты штрафа за правонарушения, выявленные в ходе госконтроля (надзора), муниципального контроля, в размере половины суммы наложенного административного штрафа в течение 20 дней со дня вынесения постановления по делу.</w:t>
      </w:r>
    </w:p>
    <w:p w:rsidR="00B317FD" w:rsidRPr="00B317FD" w:rsidRDefault="00B317FD" w:rsidP="00B317FD">
      <w:pPr>
        <w:pStyle w:val="a3"/>
        <w:rPr>
          <w:sz w:val="28"/>
          <w:szCs w:val="28"/>
        </w:rPr>
      </w:pPr>
      <w:r w:rsidRPr="00B317FD">
        <w:rPr>
          <w:sz w:val="28"/>
          <w:szCs w:val="28"/>
        </w:rPr>
        <w:t>Отметим также, что введённой в 2022 году в КоАП РФ статьёй 4.1.2. регламентированы особенности назначения административного штрафа социально ориентированным некоммерческим организациям и малым предприятиям. Им штраф назначается «в размере, предусмотренном для лица, осуществляющего предпринимательскую деятельность без образования юридического лица», то есть как для ИП.</w:t>
      </w:r>
    </w:p>
    <w:p w:rsidR="00BA6AC6" w:rsidRPr="00B317FD" w:rsidRDefault="00BA6AC6">
      <w:pPr>
        <w:rPr>
          <w:rFonts w:ascii="Times New Roman" w:hAnsi="Times New Roman" w:cs="Times New Roman"/>
          <w:sz w:val="28"/>
          <w:szCs w:val="28"/>
        </w:rPr>
      </w:pPr>
    </w:p>
    <w:sectPr w:rsidR="00BA6AC6" w:rsidRPr="00B317FD" w:rsidSect="00B317F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8B"/>
    <w:rsid w:val="00085A8B"/>
    <w:rsid w:val="00B317FD"/>
    <w:rsid w:val="00B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2025-07-16T04:16:00Z</dcterms:created>
  <dcterms:modified xsi:type="dcterms:W3CDTF">2025-07-16T04:17:00Z</dcterms:modified>
</cp:coreProperties>
</file>