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
        <w:tblpPr w:leftFromText="180" w:rightFromText="180" w:vertAnchor="page" w:horzAnchor="margin" w:tblpY="1077"/>
        <w:tblW w:w="9639" w:type="dxa"/>
        <w:tblLayout w:type="fixed"/>
        <w:tblLook w:val="04A0" w:firstRow="1" w:lastRow="0" w:firstColumn="1" w:lastColumn="0" w:noHBand="0" w:noVBand="1"/>
      </w:tblPr>
      <w:tblGrid>
        <w:gridCol w:w="4111"/>
        <w:gridCol w:w="851"/>
        <w:gridCol w:w="4677"/>
      </w:tblGrid>
      <w:tr w:rsidR="00AE4D39" w14:paraId="0FE2A08E" w14:textId="77777777" w:rsidTr="006629A3">
        <w:trPr>
          <w:trHeight w:val="290"/>
        </w:trPr>
        <w:tc>
          <w:tcPr>
            <w:tcW w:w="4111" w:type="dxa"/>
            <w:tcBorders>
              <w:top w:val="nil"/>
              <w:left w:val="nil"/>
              <w:bottom w:val="nil"/>
              <w:right w:val="nil"/>
            </w:tcBorders>
          </w:tcPr>
          <w:p w14:paraId="779BCFFD" w14:textId="77777777" w:rsidR="00AE4D39" w:rsidRPr="00D01DCA" w:rsidRDefault="00AE4D39" w:rsidP="00B406B6">
            <w:pPr>
              <w:tabs>
                <w:tab w:val="left" w:pos="2447"/>
              </w:tabs>
              <w:ind w:left="-249" w:right="-172"/>
              <w:jc w:val="center"/>
              <w:rPr>
                <w:rFonts w:cs="Times New Roman"/>
                <w:b/>
                <w:sz w:val="16"/>
                <w:szCs w:val="16"/>
              </w:rPr>
            </w:pPr>
          </w:p>
        </w:tc>
        <w:tc>
          <w:tcPr>
            <w:tcW w:w="851" w:type="dxa"/>
            <w:tcBorders>
              <w:top w:val="nil"/>
              <w:left w:val="nil"/>
              <w:bottom w:val="nil"/>
              <w:right w:val="nil"/>
            </w:tcBorders>
          </w:tcPr>
          <w:p w14:paraId="2F87115A" w14:textId="77777777" w:rsidR="00AE4D39" w:rsidRDefault="00AE4D39" w:rsidP="00B406B6">
            <w:pPr>
              <w:pStyle w:val="a3"/>
              <w:ind w:firstLine="0"/>
            </w:pPr>
          </w:p>
        </w:tc>
        <w:tc>
          <w:tcPr>
            <w:tcW w:w="4677" w:type="dxa"/>
            <w:tcBorders>
              <w:top w:val="nil"/>
              <w:left w:val="nil"/>
              <w:bottom w:val="nil"/>
              <w:right w:val="nil"/>
            </w:tcBorders>
          </w:tcPr>
          <w:p w14:paraId="6BB167A9" w14:textId="77777777" w:rsidR="00AE4D39" w:rsidRDefault="00AE4D39" w:rsidP="00B406B6">
            <w:pPr>
              <w:pStyle w:val="a3"/>
              <w:ind w:left="-106" w:firstLine="0"/>
            </w:pPr>
          </w:p>
        </w:tc>
      </w:tr>
    </w:tbl>
    <w:p w14:paraId="631E34CE" w14:textId="77777777" w:rsidR="0065254C" w:rsidRPr="0065254C" w:rsidRDefault="0065254C" w:rsidP="0065254C">
      <w:pPr>
        <w:spacing w:line="240" w:lineRule="exact"/>
        <w:jc w:val="center"/>
        <w:rPr>
          <w:szCs w:val="28"/>
        </w:rPr>
      </w:pPr>
    </w:p>
    <w:p w14:paraId="18DCB15C" w14:textId="77777777" w:rsidR="0018365B" w:rsidRPr="0065254C" w:rsidRDefault="0018365B" w:rsidP="0018365B">
      <w:pPr>
        <w:ind w:firstLine="709"/>
        <w:jc w:val="both"/>
        <w:rPr>
          <w:b/>
          <w:szCs w:val="28"/>
        </w:rPr>
      </w:pPr>
      <w:r w:rsidRPr="0065254C">
        <w:rPr>
          <w:b/>
          <w:szCs w:val="28"/>
        </w:rPr>
        <w:t>Возмещение ущерба в уголовном процессе.</w:t>
      </w:r>
    </w:p>
    <w:p w14:paraId="658CC6D3" w14:textId="77777777" w:rsidR="0018365B" w:rsidRPr="0065254C" w:rsidRDefault="0018365B" w:rsidP="0018365B">
      <w:pPr>
        <w:ind w:firstLine="709"/>
        <w:jc w:val="both"/>
        <w:rPr>
          <w:szCs w:val="28"/>
        </w:rPr>
      </w:pPr>
      <w:r w:rsidRPr="0065254C">
        <w:rPr>
          <w:szCs w:val="28"/>
        </w:rPr>
        <w:t>В соответствии с Конституцией Российской Федерации права потерпевших от преступлений охраняются законом, государство обеспечивает им доступ к правосудию и компенсацию причинённого ущерба.</w:t>
      </w:r>
    </w:p>
    <w:p w14:paraId="64B47387" w14:textId="77777777" w:rsidR="0018365B" w:rsidRPr="0065254C" w:rsidRDefault="0018365B" w:rsidP="0018365B">
      <w:pPr>
        <w:ind w:firstLine="709"/>
        <w:jc w:val="both"/>
        <w:rPr>
          <w:szCs w:val="28"/>
        </w:rPr>
      </w:pPr>
      <w:r w:rsidRPr="0065254C">
        <w:rPr>
          <w:szCs w:val="28"/>
        </w:rPr>
        <w:t>Согласно уголовно-процессуальному законодательству потерпевшим является физическое лиц, которому преступлением причинён физический, имущественный, моральный вред, а также юридическое лицо в случае причинения вреда его имуществу и деловой репутации.</w:t>
      </w:r>
    </w:p>
    <w:p w14:paraId="79C0EAF0" w14:textId="77777777" w:rsidR="0018365B" w:rsidRPr="0065254C" w:rsidRDefault="0018365B" w:rsidP="0018365B">
      <w:pPr>
        <w:ind w:firstLine="709"/>
        <w:jc w:val="both"/>
        <w:rPr>
          <w:szCs w:val="28"/>
        </w:rPr>
      </w:pPr>
      <w:r w:rsidRPr="0065254C">
        <w:rPr>
          <w:szCs w:val="28"/>
        </w:rPr>
        <w:t>Физический вред состоит в расстройстве здоровья, причинении телесных повреждений, физических и психических страданий. Имущественным вредом является хищение имущества, повреждение и уничтожение материальных ценностей. Моральный вред состоит в нравственных или физических страданиях (например, оскорблении, унижении, возникновении чувства ущербности, дискомфортном состоянии), испытываемых (переживаемых, претерпеваемых) потерпевшим в результате совершенного против него противоправного деяния.</w:t>
      </w:r>
    </w:p>
    <w:p w14:paraId="790204C7" w14:textId="77777777" w:rsidR="0018365B" w:rsidRPr="0065254C" w:rsidRDefault="0018365B" w:rsidP="0018365B">
      <w:pPr>
        <w:ind w:firstLine="709"/>
        <w:jc w:val="both"/>
        <w:rPr>
          <w:szCs w:val="28"/>
        </w:rPr>
      </w:pPr>
      <w:r w:rsidRPr="0065254C">
        <w:rPr>
          <w:szCs w:val="28"/>
        </w:rPr>
        <w:t>Возмещение причиненного преступлением ущерба осуществляется как на досудебной стадии уголовного судопроизводства, так и в судебном разбирательстве, при исполнении приговора.</w:t>
      </w:r>
    </w:p>
    <w:p w14:paraId="5D7E2F6A" w14:textId="77777777" w:rsidR="0018365B" w:rsidRPr="0065254C" w:rsidRDefault="0018365B" w:rsidP="0018365B">
      <w:pPr>
        <w:ind w:firstLine="709"/>
        <w:jc w:val="both"/>
        <w:rPr>
          <w:szCs w:val="28"/>
        </w:rPr>
      </w:pPr>
      <w:r w:rsidRPr="0065254C">
        <w:rPr>
          <w:szCs w:val="28"/>
        </w:rPr>
        <w:t>Возможны следующие способы возмещения вреда.</w:t>
      </w:r>
    </w:p>
    <w:p w14:paraId="4CEDEFB7" w14:textId="77777777" w:rsidR="0018365B" w:rsidRPr="0065254C" w:rsidRDefault="0018365B" w:rsidP="0018365B">
      <w:pPr>
        <w:ind w:firstLine="709"/>
        <w:jc w:val="both"/>
        <w:rPr>
          <w:szCs w:val="28"/>
        </w:rPr>
      </w:pPr>
      <w:r w:rsidRPr="0065254C">
        <w:rPr>
          <w:szCs w:val="28"/>
        </w:rPr>
        <w:t>Добровольное возмещение вреда. Подозреваемый (обвиняемый) может проявить инициативу и возместить потерпевшему вред путём возврата похищенного, восстановления повреждённого имущества, предоставления нового имущества взамен утраченного, денежной компенсации.</w:t>
      </w:r>
    </w:p>
    <w:p w14:paraId="5F122322" w14:textId="77777777" w:rsidR="0018365B" w:rsidRPr="0065254C" w:rsidRDefault="0018365B" w:rsidP="0018365B">
      <w:pPr>
        <w:ind w:firstLine="709"/>
        <w:jc w:val="both"/>
        <w:rPr>
          <w:szCs w:val="28"/>
        </w:rPr>
      </w:pPr>
      <w:r w:rsidRPr="0065254C">
        <w:rPr>
          <w:szCs w:val="28"/>
        </w:rPr>
        <w:t>Если в добровольном порядке вред не возмещён, органы расследования обязаны принять иные меры к возмещению вреда, причиненного преступлением: к отысканию похищенных ценностей; изысканию имущества обвиняемого, которое подлежит изъятию в целях возмещения вреда, причиненного преступлением. С этой целью, в том числе производятся выемки и обыски в жилище подозреваемого (обвиняемого) и иных местах, где может находиться похищенное. Отысканию подлежат также ценности, имеющие значение для дела, в том числе нажитые преступным путем.</w:t>
      </w:r>
    </w:p>
    <w:p w14:paraId="55DABF85" w14:textId="77777777" w:rsidR="0018365B" w:rsidRPr="0065254C" w:rsidRDefault="0018365B" w:rsidP="0018365B">
      <w:pPr>
        <w:ind w:firstLine="709"/>
        <w:jc w:val="both"/>
        <w:rPr>
          <w:szCs w:val="28"/>
        </w:rPr>
      </w:pPr>
      <w:r w:rsidRPr="0065254C">
        <w:rPr>
          <w:szCs w:val="28"/>
        </w:rPr>
        <w:t>Арест имущества возможен по судебному решению, которое выносится по итогам рассмотрения соответствующего ходатайства следователя (дознавателя). Он может быть наложен на имущество обвиняемого, подозреваемого или лица, несущего по закону материальную ответственность за их действия, а также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Арестованное имущество по решению органа расследования либо изымается и хранится по правилам хранения вещественных доказательств, либо оставляется на ответственное хранение владельцу имущества.</w:t>
      </w:r>
    </w:p>
    <w:p w14:paraId="43F227EF" w14:textId="77777777" w:rsidR="0018365B" w:rsidRPr="0065254C" w:rsidRDefault="0018365B" w:rsidP="0018365B">
      <w:pPr>
        <w:ind w:firstLine="709"/>
        <w:jc w:val="both"/>
        <w:rPr>
          <w:szCs w:val="28"/>
        </w:rPr>
      </w:pPr>
      <w:r w:rsidRPr="0065254C">
        <w:rPr>
          <w:szCs w:val="28"/>
        </w:rPr>
        <w:t xml:space="preserve">Кроме того, следователь (дознаватель) обязан установить, имеются ли у обвиняемого средства на счетах в банках и иных кредитных организациях, а также получить сведения о ценных бумагах. На денежные вклады также </w:t>
      </w:r>
      <w:r w:rsidRPr="0065254C">
        <w:rPr>
          <w:szCs w:val="28"/>
        </w:rPr>
        <w:lastRenderedPageBreak/>
        <w:t>налагается арест, что блокирует производство по ним каких-либо денежных операций.</w:t>
      </w:r>
    </w:p>
    <w:p w14:paraId="3BF2D4C4" w14:textId="77777777" w:rsidR="0018365B" w:rsidRPr="0065254C" w:rsidRDefault="0018365B" w:rsidP="0018365B">
      <w:pPr>
        <w:ind w:firstLine="709"/>
        <w:jc w:val="both"/>
        <w:rPr>
          <w:szCs w:val="28"/>
        </w:rPr>
      </w:pPr>
      <w:r w:rsidRPr="0065254C">
        <w:rPr>
          <w:szCs w:val="28"/>
        </w:rPr>
        <w:t>Если принятыми при расследовании уголовного дела мерами не удалось возместить материальный вред, причиненный преступлением, следователь или дознаватель обязаны разъяснить право потерпевшего на предъявление гражданского иска. Он может быть предъявлен к обвиняемому либо к лицам, в том числе юридическим, несущим за его действия материальную ответственность. Гражданский иск может быть предъявлен с момента возбуждения уголовного дела и до окончания судебного следствия при разбирательстве по уголовному делу в суде первой инстанции.</w:t>
      </w:r>
    </w:p>
    <w:p w14:paraId="6DD92DFB" w14:textId="77777777" w:rsidR="005F0759" w:rsidRPr="0065254C" w:rsidRDefault="0018365B" w:rsidP="0018365B">
      <w:pPr>
        <w:ind w:firstLine="709"/>
        <w:jc w:val="both"/>
        <w:rPr>
          <w:szCs w:val="28"/>
        </w:rPr>
      </w:pPr>
      <w:r w:rsidRPr="0065254C">
        <w:rPr>
          <w:szCs w:val="28"/>
        </w:rPr>
        <w:t>Также потерпевшему обеспечивается возмещение расходов, понесённых в связи с его участием в ходе предварительного расследования и в суде, включая расходы на представителя. Кроме того, потерпевший вправе также предъявить гражданский иск о компенсации в денежной форме морального вреда независимо от возмещения имущественного вреда.</w:t>
      </w:r>
    </w:p>
    <w:p w14:paraId="3FC5DAAA" w14:textId="77777777" w:rsidR="00466A2A" w:rsidRPr="0065254C" w:rsidRDefault="00466A2A" w:rsidP="005F0759">
      <w:pPr>
        <w:ind w:firstLine="709"/>
        <w:jc w:val="both"/>
        <w:rPr>
          <w:szCs w:val="28"/>
        </w:rPr>
      </w:pPr>
      <w:r w:rsidRPr="0065254C">
        <w:rPr>
          <w:szCs w:val="28"/>
        </w:rPr>
        <w:t xml:space="preserve">Разъяснение подготовил помощник прокурора г. Стерлитамака </w:t>
      </w:r>
      <w:r w:rsidR="00C57673" w:rsidRPr="0065254C">
        <w:rPr>
          <w:szCs w:val="28"/>
        </w:rPr>
        <w:br/>
        <w:t>Афанасьев С.А.</w:t>
      </w:r>
    </w:p>
    <w:p w14:paraId="24627590" w14:textId="77777777" w:rsidR="00466A2A" w:rsidRPr="00F5623A" w:rsidRDefault="00466A2A" w:rsidP="00466A2A">
      <w:pPr>
        <w:spacing w:line="240" w:lineRule="exact"/>
        <w:rPr>
          <w:sz w:val="27"/>
          <w:szCs w:val="27"/>
        </w:rPr>
      </w:pPr>
    </w:p>
    <w:p w14:paraId="7044EBED" w14:textId="77777777" w:rsidR="00466A2A" w:rsidRPr="0065254C" w:rsidRDefault="00C57673" w:rsidP="00466A2A">
      <w:pPr>
        <w:spacing w:line="240" w:lineRule="exact"/>
        <w:rPr>
          <w:szCs w:val="28"/>
        </w:rPr>
      </w:pPr>
      <w:r>
        <w:rPr>
          <w:sz w:val="27"/>
          <w:szCs w:val="27"/>
        </w:rPr>
        <w:t xml:space="preserve"> </w:t>
      </w:r>
      <w:bookmarkStart w:id="0" w:name="_GoBack"/>
      <w:bookmarkEnd w:id="0"/>
    </w:p>
    <w:sectPr w:rsidR="00466A2A" w:rsidRPr="0065254C" w:rsidSect="007106D4">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518CA" w14:textId="77777777" w:rsidR="00671AB4" w:rsidRDefault="00671AB4" w:rsidP="00337B0C">
      <w:r>
        <w:separator/>
      </w:r>
    </w:p>
  </w:endnote>
  <w:endnote w:type="continuationSeparator" w:id="0">
    <w:p w14:paraId="6877A2F1" w14:textId="77777777" w:rsidR="00671AB4" w:rsidRDefault="00671AB4" w:rsidP="0033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10715" w14:textId="77777777" w:rsidR="007758E8" w:rsidRDefault="007758E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C4454" w14:textId="77777777" w:rsidR="007758E8" w:rsidRDefault="007758E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484BA9" w:rsidRPr="00484BA9" w14:paraId="696AC36C" w14:textId="77777777" w:rsidTr="00F441E6">
      <w:trPr>
        <w:cantSplit/>
        <w:trHeight w:val="57"/>
      </w:trPr>
      <w:tc>
        <w:tcPr>
          <w:tcW w:w="3643" w:type="dxa"/>
        </w:tcPr>
        <w:p w14:paraId="35B8AB85" w14:textId="77777777" w:rsidR="00484BA9" w:rsidRPr="00484BA9" w:rsidRDefault="00484BA9" w:rsidP="00484BA9">
          <w:pPr>
            <w:spacing w:after="60"/>
            <w:jc w:val="center"/>
            <w:rPr>
              <w:rFonts w:eastAsia="Calibri" w:cs="Times New Roman"/>
              <w:sz w:val="16"/>
              <w:szCs w:val="16"/>
            </w:rPr>
          </w:pPr>
          <w:bookmarkStart w:id="1" w:name="SIGNERORG1"/>
          <w:r w:rsidRPr="00484BA9">
            <w:rPr>
              <w:rFonts w:eastAsia="Calibri" w:cs="Times New Roman"/>
              <w:sz w:val="16"/>
              <w:szCs w:val="16"/>
            </w:rPr>
            <w:t>организация</w:t>
          </w:r>
          <w:bookmarkEnd w:id="1"/>
        </w:p>
        <w:p w14:paraId="0898CFDB" w14:textId="77777777" w:rsidR="00484BA9" w:rsidRPr="00484BA9" w:rsidRDefault="00484BA9" w:rsidP="007758E8">
          <w:pPr>
            <w:spacing w:after="60"/>
            <w:rPr>
              <w:rFonts w:eastAsia="Calibri" w:cs="Times New Roman"/>
              <w:sz w:val="16"/>
              <w:szCs w:val="16"/>
            </w:rPr>
          </w:pPr>
          <w:r w:rsidRPr="00484BA9">
            <w:rPr>
              <w:rFonts w:eastAsia="Calibri" w:cs="Times New Roman"/>
              <w:sz w:val="16"/>
              <w:szCs w:val="16"/>
            </w:rPr>
            <w:t xml:space="preserve">№ </w:t>
          </w:r>
          <w:bookmarkStart w:id="2" w:name="REGNUMSTAMP"/>
          <w:r w:rsidRPr="00484BA9">
            <w:rPr>
              <w:rFonts w:eastAsia="Calibri" w:cs="Times New Roman"/>
              <w:color w:val="BFBFBF"/>
              <w:sz w:val="16"/>
              <w:szCs w:val="16"/>
            </w:rPr>
            <w:t>рег.номер</w:t>
          </w:r>
          <w:bookmarkEnd w:id="2"/>
        </w:p>
      </w:tc>
    </w:tr>
  </w:tbl>
  <w:p w14:paraId="3FD7EF49" w14:textId="77777777" w:rsidR="00484BA9" w:rsidRDefault="00484B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AAE4C" w14:textId="77777777" w:rsidR="00671AB4" w:rsidRDefault="00671AB4" w:rsidP="00337B0C">
      <w:r>
        <w:separator/>
      </w:r>
    </w:p>
  </w:footnote>
  <w:footnote w:type="continuationSeparator" w:id="0">
    <w:p w14:paraId="0509CF2B" w14:textId="77777777" w:rsidR="00671AB4" w:rsidRDefault="00671AB4" w:rsidP="0033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AF4F" w14:textId="77777777" w:rsidR="007758E8" w:rsidRDefault="007758E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83076"/>
      <w:docPartObj>
        <w:docPartGallery w:val="Page Numbers (Top of Page)"/>
        <w:docPartUnique/>
      </w:docPartObj>
    </w:sdtPr>
    <w:sdtEndPr/>
    <w:sdtContent>
      <w:p w14:paraId="4731E95F" w14:textId="77777777" w:rsidR="00337B0C" w:rsidRDefault="00337B0C">
        <w:pPr>
          <w:pStyle w:val="ab"/>
          <w:jc w:val="center"/>
        </w:pPr>
        <w:r>
          <w:fldChar w:fldCharType="begin"/>
        </w:r>
        <w:r>
          <w:instrText>PAGE   \* MERGEFORMAT</w:instrText>
        </w:r>
        <w:r>
          <w:fldChar w:fldCharType="separate"/>
        </w:r>
        <w:r>
          <w:rPr>
            <w:noProof/>
          </w:rPr>
          <w:t>1</w:t>
        </w:r>
        <w:r>
          <w:fldChar w:fldCharType="end"/>
        </w:r>
      </w:p>
    </w:sdtContent>
  </w:sdt>
  <w:p w14:paraId="60D2BAF9" w14:textId="77777777" w:rsidR="00337B0C" w:rsidRDefault="00337B0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07300" w14:textId="77777777" w:rsidR="007758E8" w:rsidRDefault="007758E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22BB7"/>
    <w:multiLevelType w:val="hybridMultilevel"/>
    <w:tmpl w:val="A7CE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67"/>
    <w:rsid w:val="00002696"/>
    <w:rsid w:val="000048C2"/>
    <w:rsid w:val="0002519F"/>
    <w:rsid w:val="00030072"/>
    <w:rsid w:val="00033209"/>
    <w:rsid w:val="00036705"/>
    <w:rsid w:val="00050EB8"/>
    <w:rsid w:val="00053D5D"/>
    <w:rsid w:val="0007534C"/>
    <w:rsid w:val="00082D64"/>
    <w:rsid w:val="000958C4"/>
    <w:rsid w:val="000A388E"/>
    <w:rsid w:val="000A7CD5"/>
    <w:rsid w:val="000C137D"/>
    <w:rsid w:val="000C5825"/>
    <w:rsid w:val="000D1AE5"/>
    <w:rsid w:val="000D69B1"/>
    <w:rsid w:val="000E2111"/>
    <w:rsid w:val="000E5261"/>
    <w:rsid w:val="000F4DBE"/>
    <w:rsid w:val="0010026F"/>
    <w:rsid w:val="00110BA3"/>
    <w:rsid w:val="00112D44"/>
    <w:rsid w:val="00145329"/>
    <w:rsid w:val="001579AC"/>
    <w:rsid w:val="001639A3"/>
    <w:rsid w:val="0018365B"/>
    <w:rsid w:val="00195A8F"/>
    <w:rsid w:val="001A06D8"/>
    <w:rsid w:val="001A33AB"/>
    <w:rsid w:val="001D25FA"/>
    <w:rsid w:val="001D5E16"/>
    <w:rsid w:val="001E6BCD"/>
    <w:rsid w:val="001F78FD"/>
    <w:rsid w:val="001F7A22"/>
    <w:rsid w:val="002050F2"/>
    <w:rsid w:val="00221CAB"/>
    <w:rsid w:val="00230360"/>
    <w:rsid w:val="002377C1"/>
    <w:rsid w:val="00237885"/>
    <w:rsid w:val="00246AFE"/>
    <w:rsid w:val="002518DD"/>
    <w:rsid w:val="00255816"/>
    <w:rsid w:val="0026344C"/>
    <w:rsid w:val="00270608"/>
    <w:rsid w:val="00272B60"/>
    <w:rsid w:val="00290E16"/>
    <w:rsid w:val="002A1384"/>
    <w:rsid w:val="002B4230"/>
    <w:rsid w:val="002B7395"/>
    <w:rsid w:val="002C47B9"/>
    <w:rsid w:val="002F3096"/>
    <w:rsid w:val="0030136A"/>
    <w:rsid w:val="00304734"/>
    <w:rsid w:val="0031232E"/>
    <w:rsid w:val="003129FE"/>
    <w:rsid w:val="003175F8"/>
    <w:rsid w:val="00320CCD"/>
    <w:rsid w:val="00322AA2"/>
    <w:rsid w:val="00332F40"/>
    <w:rsid w:val="00337B0C"/>
    <w:rsid w:val="00346E04"/>
    <w:rsid w:val="00352624"/>
    <w:rsid w:val="003627FB"/>
    <w:rsid w:val="003642DB"/>
    <w:rsid w:val="00364BF2"/>
    <w:rsid w:val="0036796D"/>
    <w:rsid w:val="00380DF4"/>
    <w:rsid w:val="00382F17"/>
    <w:rsid w:val="00395423"/>
    <w:rsid w:val="003A02F6"/>
    <w:rsid w:val="003A0561"/>
    <w:rsid w:val="003A457D"/>
    <w:rsid w:val="003B71AE"/>
    <w:rsid w:val="003E5294"/>
    <w:rsid w:val="004049B5"/>
    <w:rsid w:val="00412B57"/>
    <w:rsid w:val="004152CF"/>
    <w:rsid w:val="00416C1F"/>
    <w:rsid w:val="00417AEB"/>
    <w:rsid w:val="004420B8"/>
    <w:rsid w:val="00466A2A"/>
    <w:rsid w:val="004705C7"/>
    <w:rsid w:val="00484BA9"/>
    <w:rsid w:val="00492A4F"/>
    <w:rsid w:val="004C1297"/>
    <w:rsid w:val="004C25DC"/>
    <w:rsid w:val="004C6F09"/>
    <w:rsid w:val="004E2132"/>
    <w:rsid w:val="005118EB"/>
    <w:rsid w:val="0051410A"/>
    <w:rsid w:val="00537252"/>
    <w:rsid w:val="005575B3"/>
    <w:rsid w:val="00567FE5"/>
    <w:rsid w:val="00576BF4"/>
    <w:rsid w:val="00585861"/>
    <w:rsid w:val="00590645"/>
    <w:rsid w:val="00595EA4"/>
    <w:rsid w:val="005A24F3"/>
    <w:rsid w:val="005A774D"/>
    <w:rsid w:val="005B2D03"/>
    <w:rsid w:val="005D00ED"/>
    <w:rsid w:val="005E1D59"/>
    <w:rsid w:val="005E3047"/>
    <w:rsid w:val="005E3550"/>
    <w:rsid w:val="005E67D2"/>
    <w:rsid w:val="005F0759"/>
    <w:rsid w:val="005F1FB5"/>
    <w:rsid w:val="005F665F"/>
    <w:rsid w:val="005F6F8F"/>
    <w:rsid w:val="00602735"/>
    <w:rsid w:val="00612B34"/>
    <w:rsid w:val="00615DB2"/>
    <w:rsid w:val="00625214"/>
    <w:rsid w:val="00625B26"/>
    <w:rsid w:val="006270D5"/>
    <w:rsid w:val="00627C20"/>
    <w:rsid w:val="00650DA5"/>
    <w:rsid w:val="0065254C"/>
    <w:rsid w:val="00657E53"/>
    <w:rsid w:val="0066113D"/>
    <w:rsid w:val="006629A3"/>
    <w:rsid w:val="00665259"/>
    <w:rsid w:val="00671AB4"/>
    <w:rsid w:val="00674DEB"/>
    <w:rsid w:val="006A292C"/>
    <w:rsid w:val="006D4F40"/>
    <w:rsid w:val="006E6FA5"/>
    <w:rsid w:val="00703594"/>
    <w:rsid w:val="007106D4"/>
    <w:rsid w:val="0072166A"/>
    <w:rsid w:val="00721E0F"/>
    <w:rsid w:val="0073339B"/>
    <w:rsid w:val="00736FE8"/>
    <w:rsid w:val="00754805"/>
    <w:rsid w:val="0075709D"/>
    <w:rsid w:val="00762EFE"/>
    <w:rsid w:val="007633B1"/>
    <w:rsid w:val="00767E78"/>
    <w:rsid w:val="00770704"/>
    <w:rsid w:val="00772705"/>
    <w:rsid w:val="007758E8"/>
    <w:rsid w:val="00776C54"/>
    <w:rsid w:val="007A1451"/>
    <w:rsid w:val="007A2014"/>
    <w:rsid w:val="007B647A"/>
    <w:rsid w:val="007B66CB"/>
    <w:rsid w:val="007D0F9A"/>
    <w:rsid w:val="007F226A"/>
    <w:rsid w:val="00801102"/>
    <w:rsid w:val="00811B20"/>
    <w:rsid w:val="00817A74"/>
    <w:rsid w:val="008240D9"/>
    <w:rsid w:val="00824B90"/>
    <w:rsid w:val="008264E1"/>
    <w:rsid w:val="00833FA8"/>
    <w:rsid w:val="00841EDD"/>
    <w:rsid w:val="00852152"/>
    <w:rsid w:val="0086470E"/>
    <w:rsid w:val="008654DB"/>
    <w:rsid w:val="008A3D99"/>
    <w:rsid w:val="008D0FED"/>
    <w:rsid w:val="008D4443"/>
    <w:rsid w:val="008D4E2E"/>
    <w:rsid w:val="008D6570"/>
    <w:rsid w:val="008E1923"/>
    <w:rsid w:val="0090316D"/>
    <w:rsid w:val="0091327B"/>
    <w:rsid w:val="00926359"/>
    <w:rsid w:val="0093063A"/>
    <w:rsid w:val="00942A03"/>
    <w:rsid w:val="009436E8"/>
    <w:rsid w:val="00945F15"/>
    <w:rsid w:val="0095738E"/>
    <w:rsid w:val="0096518A"/>
    <w:rsid w:val="009816E8"/>
    <w:rsid w:val="00993C7C"/>
    <w:rsid w:val="0099476C"/>
    <w:rsid w:val="009B4CCF"/>
    <w:rsid w:val="009E4687"/>
    <w:rsid w:val="009F684D"/>
    <w:rsid w:val="00A15B68"/>
    <w:rsid w:val="00A16FC2"/>
    <w:rsid w:val="00A245E6"/>
    <w:rsid w:val="00A37E13"/>
    <w:rsid w:val="00A40DDE"/>
    <w:rsid w:val="00A437E0"/>
    <w:rsid w:val="00A50A35"/>
    <w:rsid w:val="00A53DAA"/>
    <w:rsid w:val="00A8067F"/>
    <w:rsid w:val="00A85FB2"/>
    <w:rsid w:val="00A96406"/>
    <w:rsid w:val="00AA2727"/>
    <w:rsid w:val="00AB2A02"/>
    <w:rsid w:val="00AB7828"/>
    <w:rsid w:val="00AD2281"/>
    <w:rsid w:val="00AD36C1"/>
    <w:rsid w:val="00AE188B"/>
    <w:rsid w:val="00AE28E8"/>
    <w:rsid w:val="00AE4D39"/>
    <w:rsid w:val="00AF1FD8"/>
    <w:rsid w:val="00AF606B"/>
    <w:rsid w:val="00B17598"/>
    <w:rsid w:val="00B406B6"/>
    <w:rsid w:val="00B4391F"/>
    <w:rsid w:val="00B70A03"/>
    <w:rsid w:val="00B72B65"/>
    <w:rsid w:val="00B75C9A"/>
    <w:rsid w:val="00B80FC7"/>
    <w:rsid w:val="00B82E62"/>
    <w:rsid w:val="00B8591A"/>
    <w:rsid w:val="00B92725"/>
    <w:rsid w:val="00B92759"/>
    <w:rsid w:val="00B94561"/>
    <w:rsid w:val="00BC017A"/>
    <w:rsid w:val="00BC66F2"/>
    <w:rsid w:val="00BC753A"/>
    <w:rsid w:val="00BD222C"/>
    <w:rsid w:val="00C0749C"/>
    <w:rsid w:val="00C243E8"/>
    <w:rsid w:val="00C311B0"/>
    <w:rsid w:val="00C35A67"/>
    <w:rsid w:val="00C452E4"/>
    <w:rsid w:val="00C57673"/>
    <w:rsid w:val="00C6205A"/>
    <w:rsid w:val="00C62123"/>
    <w:rsid w:val="00C71DDB"/>
    <w:rsid w:val="00C72432"/>
    <w:rsid w:val="00C87D24"/>
    <w:rsid w:val="00C9469C"/>
    <w:rsid w:val="00CA35F1"/>
    <w:rsid w:val="00CA3C7C"/>
    <w:rsid w:val="00CA5A32"/>
    <w:rsid w:val="00CB7254"/>
    <w:rsid w:val="00CD078C"/>
    <w:rsid w:val="00CE474E"/>
    <w:rsid w:val="00CF164E"/>
    <w:rsid w:val="00D01DCA"/>
    <w:rsid w:val="00D15CC4"/>
    <w:rsid w:val="00D21714"/>
    <w:rsid w:val="00D25843"/>
    <w:rsid w:val="00D353F1"/>
    <w:rsid w:val="00D45EE0"/>
    <w:rsid w:val="00D55F29"/>
    <w:rsid w:val="00D56E55"/>
    <w:rsid w:val="00D644EC"/>
    <w:rsid w:val="00D65F7A"/>
    <w:rsid w:val="00D66363"/>
    <w:rsid w:val="00D75069"/>
    <w:rsid w:val="00DA0763"/>
    <w:rsid w:val="00DA0943"/>
    <w:rsid w:val="00DC1D46"/>
    <w:rsid w:val="00DC3206"/>
    <w:rsid w:val="00DC3243"/>
    <w:rsid w:val="00DD09C3"/>
    <w:rsid w:val="00DD2316"/>
    <w:rsid w:val="00DD54E8"/>
    <w:rsid w:val="00DD71C8"/>
    <w:rsid w:val="00DE1B83"/>
    <w:rsid w:val="00E00112"/>
    <w:rsid w:val="00E1620C"/>
    <w:rsid w:val="00E374D2"/>
    <w:rsid w:val="00E82BF5"/>
    <w:rsid w:val="00E867BE"/>
    <w:rsid w:val="00E86C67"/>
    <w:rsid w:val="00E947E1"/>
    <w:rsid w:val="00EA43D3"/>
    <w:rsid w:val="00ED1D7D"/>
    <w:rsid w:val="00ED5E5E"/>
    <w:rsid w:val="00F142F7"/>
    <w:rsid w:val="00F14BC1"/>
    <w:rsid w:val="00F200EB"/>
    <w:rsid w:val="00F229B8"/>
    <w:rsid w:val="00F542E3"/>
    <w:rsid w:val="00F5623A"/>
    <w:rsid w:val="00F60133"/>
    <w:rsid w:val="00F636C2"/>
    <w:rsid w:val="00F75B60"/>
    <w:rsid w:val="00F842CA"/>
    <w:rsid w:val="00F93507"/>
    <w:rsid w:val="00FA165B"/>
    <w:rsid w:val="00FB2B63"/>
    <w:rsid w:val="00FC1993"/>
    <w:rsid w:val="00FD506D"/>
    <w:rsid w:val="00FE5989"/>
    <w:rsid w:val="00FF682C"/>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91D0"/>
  <w15:chartTrackingRefBased/>
  <w15:docId w15:val="{2583D58B-12B2-463B-B58E-5B45631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70D5"/>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КрСтр"/>
    <w:basedOn w:val="a"/>
    <w:link w:val="a4"/>
    <w:qFormat/>
    <w:rsid w:val="00AD36C1"/>
    <w:pPr>
      <w:ind w:firstLine="709"/>
      <w:jc w:val="both"/>
    </w:pPr>
  </w:style>
  <w:style w:type="character" w:customStyle="1" w:styleId="a4">
    <w:name w:val="А)КрСтр Знак"/>
    <w:basedOn w:val="a0"/>
    <w:link w:val="a3"/>
    <w:rsid w:val="00AD36C1"/>
  </w:style>
  <w:style w:type="paragraph" w:customStyle="1" w:styleId="a5">
    <w:name w:val="Б)ШапТочн"/>
    <w:basedOn w:val="a"/>
    <w:link w:val="a6"/>
    <w:qFormat/>
    <w:rsid w:val="00112D44"/>
    <w:pPr>
      <w:spacing w:line="240" w:lineRule="exact"/>
      <w:ind w:left="4820"/>
      <w:jc w:val="both"/>
    </w:pPr>
  </w:style>
  <w:style w:type="character" w:customStyle="1" w:styleId="a6">
    <w:name w:val="Б)ШапТочн Знак"/>
    <w:basedOn w:val="a0"/>
    <w:link w:val="a5"/>
    <w:rsid w:val="00112D44"/>
  </w:style>
  <w:style w:type="paragraph" w:customStyle="1" w:styleId="a7">
    <w:name w:val="В)ЦентТочн"/>
    <w:basedOn w:val="a"/>
    <w:link w:val="a8"/>
    <w:qFormat/>
    <w:rsid w:val="00112D44"/>
    <w:pPr>
      <w:spacing w:line="240" w:lineRule="exact"/>
      <w:jc w:val="center"/>
    </w:pPr>
  </w:style>
  <w:style w:type="character" w:customStyle="1" w:styleId="a8">
    <w:name w:val="В)ЦентТочн Знак"/>
    <w:basedOn w:val="a0"/>
    <w:link w:val="a7"/>
    <w:rsid w:val="00112D44"/>
  </w:style>
  <w:style w:type="paragraph" w:customStyle="1" w:styleId="a9">
    <w:name w:val="Г)ПодпТочн"/>
    <w:basedOn w:val="a"/>
    <w:link w:val="aa"/>
    <w:qFormat/>
    <w:rsid w:val="00112D44"/>
    <w:pPr>
      <w:spacing w:line="240" w:lineRule="exact"/>
      <w:jc w:val="both"/>
    </w:pPr>
  </w:style>
  <w:style w:type="character" w:customStyle="1" w:styleId="aa">
    <w:name w:val="Г)ПодпТочн Знак"/>
    <w:basedOn w:val="a0"/>
    <w:link w:val="a9"/>
    <w:rsid w:val="00112D44"/>
  </w:style>
  <w:style w:type="paragraph" w:styleId="ab">
    <w:name w:val="header"/>
    <w:basedOn w:val="a"/>
    <w:link w:val="ac"/>
    <w:uiPriority w:val="99"/>
    <w:unhideWhenUsed/>
    <w:rsid w:val="00337B0C"/>
    <w:pPr>
      <w:tabs>
        <w:tab w:val="center" w:pos="4677"/>
        <w:tab w:val="right" w:pos="9355"/>
      </w:tabs>
      <w:jc w:val="both"/>
    </w:pPr>
  </w:style>
  <w:style w:type="character" w:customStyle="1" w:styleId="ac">
    <w:name w:val="Верхний колонтитул Знак"/>
    <w:basedOn w:val="a0"/>
    <w:link w:val="ab"/>
    <w:uiPriority w:val="99"/>
    <w:rsid w:val="00337B0C"/>
  </w:style>
  <w:style w:type="paragraph" w:styleId="ad">
    <w:name w:val="footer"/>
    <w:basedOn w:val="a"/>
    <w:link w:val="ae"/>
    <w:uiPriority w:val="99"/>
    <w:unhideWhenUsed/>
    <w:rsid w:val="00337B0C"/>
    <w:pPr>
      <w:tabs>
        <w:tab w:val="center" w:pos="4677"/>
        <w:tab w:val="right" w:pos="9355"/>
      </w:tabs>
      <w:jc w:val="both"/>
    </w:pPr>
  </w:style>
  <w:style w:type="character" w:customStyle="1" w:styleId="ae">
    <w:name w:val="Нижний колонтитул Знак"/>
    <w:basedOn w:val="a0"/>
    <w:link w:val="ad"/>
    <w:uiPriority w:val="99"/>
    <w:rsid w:val="00337B0C"/>
  </w:style>
  <w:style w:type="table" w:styleId="af">
    <w:name w:val="Table Grid"/>
    <w:basedOn w:val="a1"/>
    <w:uiPriority w:val="39"/>
    <w:rsid w:val="00E8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D15CC4"/>
    <w:rPr>
      <w:rFonts w:ascii="Segoe UI" w:hAnsi="Segoe UI" w:cs="Segoe UI"/>
      <w:sz w:val="18"/>
      <w:szCs w:val="18"/>
    </w:rPr>
  </w:style>
  <w:style w:type="character" w:customStyle="1" w:styleId="af1">
    <w:name w:val="Текст выноски Знак"/>
    <w:basedOn w:val="a0"/>
    <w:link w:val="af0"/>
    <w:uiPriority w:val="99"/>
    <w:semiHidden/>
    <w:rsid w:val="00D15CC4"/>
    <w:rPr>
      <w:rFonts w:ascii="Segoe UI" w:hAnsi="Segoe UI" w:cs="Segoe UI"/>
      <w:sz w:val="18"/>
      <w:szCs w:val="18"/>
    </w:rPr>
  </w:style>
  <w:style w:type="paragraph" w:styleId="af2">
    <w:name w:val="List Paragraph"/>
    <w:basedOn w:val="a"/>
    <w:uiPriority w:val="34"/>
    <w:qFormat/>
    <w:rsid w:val="00772705"/>
    <w:pPr>
      <w:spacing w:after="160" w:line="259" w:lineRule="auto"/>
      <w:ind w:left="720"/>
      <w:contextualSpacing/>
    </w:pPr>
    <w:rPr>
      <w:rFonts w:asciiTheme="minorHAnsi" w:hAnsiTheme="minorHAnsi"/>
      <w:sz w:val="22"/>
    </w:rPr>
  </w:style>
  <w:style w:type="character" w:styleId="af3">
    <w:name w:val="Hyperlink"/>
    <w:basedOn w:val="a0"/>
    <w:uiPriority w:val="99"/>
    <w:unhideWhenUsed/>
    <w:rsid w:val="00754805"/>
    <w:rPr>
      <w:color w:val="0563C1" w:themeColor="hyperlink"/>
      <w:u w:val="single"/>
    </w:rPr>
  </w:style>
  <w:style w:type="character" w:styleId="af4">
    <w:name w:val="Unresolved Mention"/>
    <w:basedOn w:val="a0"/>
    <w:uiPriority w:val="99"/>
    <w:semiHidden/>
    <w:unhideWhenUsed/>
    <w:rsid w:val="00754805"/>
    <w:rPr>
      <w:color w:val="605E5C"/>
      <w:shd w:val="clear" w:color="auto" w:fill="E1DFDD"/>
    </w:rPr>
  </w:style>
  <w:style w:type="paragraph" w:customStyle="1" w:styleId="ConsNonformat">
    <w:name w:val="ConsNonformat"/>
    <w:link w:val="ConsNonformat0"/>
    <w:rsid w:val="00841EDD"/>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841ED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355730">
      <w:bodyDiv w:val="1"/>
      <w:marLeft w:val="0"/>
      <w:marRight w:val="0"/>
      <w:marTop w:val="0"/>
      <w:marBottom w:val="0"/>
      <w:divBdr>
        <w:top w:val="none" w:sz="0" w:space="0" w:color="auto"/>
        <w:left w:val="none" w:sz="0" w:space="0" w:color="auto"/>
        <w:bottom w:val="none" w:sz="0" w:space="0" w:color="auto"/>
        <w:right w:val="none" w:sz="0" w:space="0" w:color="auto"/>
      </w:divBdr>
    </w:div>
    <w:div w:id="18731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A186-929A-4B15-8ECF-20C4AAA0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575</Words>
  <Characters>3279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Ризванов Ильнур Ильдарович</dc:creator>
  <cp:keywords/>
  <dc:description/>
  <cp:lastModifiedBy>Специалист 228</cp:lastModifiedBy>
  <cp:revision>6</cp:revision>
  <cp:lastPrinted>2023-10-17T14:40:00Z</cp:lastPrinted>
  <dcterms:created xsi:type="dcterms:W3CDTF">2024-06-01T09:26:00Z</dcterms:created>
  <dcterms:modified xsi:type="dcterms:W3CDTF">2024-06-28T04:27:00Z</dcterms:modified>
</cp:coreProperties>
</file>