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47F985" w14:textId="77777777" w:rsidR="00762449" w:rsidRPr="00762449" w:rsidRDefault="00762449" w:rsidP="00762449">
      <w:pPr>
        <w:spacing w:after="0" w:line="240" w:lineRule="auto"/>
        <w:ind w:firstLine="708"/>
        <w:jc w:val="both"/>
        <w:rPr>
          <w:rFonts w:ascii="Times New Roman" w:hAnsi="Times New Roman" w:cs="Times New Roman"/>
          <w:bCs/>
          <w:sz w:val="28"/>
          <w:szCs w:val="28"/>
        </w:rPr>
      </w:pPr>
    </w:p>
    <w:p w14:paraId="033C1B97" w14:textId="77777777" w:rsidR="00762449" w:rsidRDefault="00762449" w:rsidP="00762449">
      <w:pPr>
        <w:spacing w:after="0" w:line="240" w:lineRule="auto"/>
        <w:ind w:firstLine="708"/>
        <w:jc w:val="center"/>
        <w:rPr>
          <w:rFonts w:ascii="Times New Roman" w:hAnsi="Times New Roman" w:cs="Times New Roman"/>
          <w:bCs/>
          <w:sz w:val="28"/>
          <w:szCs w:val="28"/>
        </w:rPr>
      </w:pPr>
      <w:r w:rsidRPr="00762449">
        <w:rPr>
          <w:rFonts w:ascii="Times New Roman" w:hAnsi="Times New Roman" w:cs="Times New Roman"/>
          <w:bCs/>
          <w:sz w:val="28"/>
          <w:szCs w:val="28"/>
        </w:rPr>
        <w:t>Прокуратура г. Стерлитамака разъясняет:</w:t>
      </w:r>
    </w:p>
    <w:p w14:paraId="33FB3324" w14:textId="77777777" w:rsidR="00762449" w:rsidRPr="00762449" w:rsidRDefault="00762449" w:rsidP="00762449">
      <w:pPr>
        <w:spacing w:after="0" w:line="240" w:lineRule="auto"/>
        <w:ind w:firstLine="708"/>
        <w:jc w:val="center"/>
        <w:rPr>
          <w:rFonts w:ascii="Times New Roman" w:hAnsi="Times New Roman" w:cs="Times New Roman"/>
          <w:bCs/>
          <w:sz w:val="28"/>
          <w:szCs w:val="28"/>
        </w:rPr>
      </w:pPr>
    </w:p>
    <w:p w14:paraId="46E5CA44" w14:textId="77777777" w:rsidR="00F742E3" w:rsidRPr="00F742E3" w:rsidRDefault="00F742E3" w:rsidP="00F742E3">
      <w:pPr>
        <w:spacing w:after="0" w:line="240" w:lineRule="auto"/>
        <w:ind w:firstLine="709"/>
        <w:jc w:val="both"/>
        <w:rPr>
          <w:rFonts w:ascii="Times New Roman" w:eastAsia="Calibri" w:hAnsi="Times New Roman" w:cs="Times New Roman"/>
          <w:bCs/>
          <w:sz w:val="28"/>
          <w:szCs w:val="28"/>
        </w:rPr>
      </w:pPr>
      <w:r w:rsidRPr="00F742E3">
        <w:rPr>
          <w:rFonts w:ascii="Times New Roman" w:eastAsia="Calibri" w:hAnsi="Times New Roman" w:cs="Times New Roman"/>
          <w:bCs/>
          <w:sz w:val="28"/>
          <w:szCs w:val="28"/>
        </w:rPr>
        <w:t>Уголовная ответственность за нарушение требований охраны труда.</w:t>
      </w:r>
    </w:p>
    <w:p w14:paraId="788D698B" w14:textId="77777777" w:rsidR="00F742E3" w:rsidRPr="00F742E3" w:rsidRDefault="00F742E3" w:rsidP="00F742E3">
      <w:pPr>
        <w:spacing w:after="0" w:line="240" w:lineRule="auto"/>
        <w:ind w:firstLine="709"/>
        <w:jc w:val="both"/>
        <w:rPr>
          <w:rFonts w:ascii="Times New Roman" w:eastAsia="Calibri" w:hAnsi="Times New Roman" w:cs="Times New Roman"/>
          <w:bCs/>
          <w:sz w:val="28"/>
          <w:szCs w:val="28"/>
        </w:rPr>
      </w:pPr>
      <w:r w:rsidRPr="00F742E3">
        <w:rPr>
          <w:rFonts w:ascii="Times New Roman" w:eastAsia="Calibri" w:hAnsi="Times New Roman" w:cs="Times New Roman"/>
          <w:bCs/>
          <w:sz w:val="28"/>
          <w:szCs w:val="28"/>
        </w:rPr>
        <w:t>Положениями статьи 143 Уголовного кодекса Российской Федерации установлена уголовная ответственность за нарушение требований охраны труда, совершенное лицом, на которое возложены обязанности по их соблюдению, если это повлекло по неосторожности причинение тяжкого вреда здоровью человека, смерть, либо гибель двух и более лиц.</w:t>
      </w:r>
    </w:p>
    <w:p w14:paraId="6416E757" w14:textId="77777777" w:rsidR="00F742E3" w:rsidRPr="00F742E3" w:rsidRDefault="00F742E3" w:rsidP="00F742E3">
      <w:pPr>
        <w:spacing w:after="0" w:line="240" w:lineRule="auto"/>
        <w:ind w:firstLine="709"/>
        <w:jc w:val="both"/>
        <w:rPr>
          <w:rFonts w:ascii="Times New Roman" w:eastAsia="Calibri" w:hAnsi="Times New Roman" w:cs="Times New Roman"/>
          <w:bCs/>
          <w:sz w:val="28"/>
          <w:szCs w:val="28"/>
        </w:rPr>
      </w:pPr>
      <w:r w:rsidRPr="00F742E3">
        <w:rPr>
          <w:rFonts w:ascii="Times New Roman" w:eastAsia="Calibri" w:hAnsi="Times New Roman" w:cs="Times New Roman"/>
          <w:bCs/>
          <w:sz w:val="28"/>
          <w:szCs w:val="28"/>
        </w:rPr>
        <w:t>Общественная опасность преступления заключается в нарушении конституционного права на труд в условиях, отвечающих требованиям безопасности и гигиены (ч. 3 ст. 37 Конституции РФ). Рассматриваемое преступление препятствует реализации государственной политики в области охраны труда, одним из направлений которой является обеспечение приоритета сохранения жизни и здоровья работников (ст. 210 ТК РФ).</w:t>
      </w:r>
    </w:p>
    <w:p w14:paraId="5DB5D988" w14:textId="77777777" w:rsidR="00F742E3" w:rsidRPr="00F742E3" w:rsidRDefault="00F742E3" w:rsidP="00F742E3">
      <w:pPr>
        <w:spacing w:after="0" w:line="240" w:lineRule="auto"/>
        <w:ind w:firstLine="709"/>
        <w:jc w:val="both"/>
        <w:rPr>
          <w:rFonts w:ascii="Times New Roman" w:eastAsia="Calibri" w:hAnsi="Times New Roman" w:cs="Times New Roman"/>
          <w:bCs/>
          <w:sz w:val="28"/>
          <w:szCs w:val="28"/>
        </w:rPr>
      </w:pPr>
      <w:r w:rsidRPr="00F742E3">
        <w:rPr>
          <w:rFonts w:ascii="Times New Roman" w:eastAsia="Calibri" w:hAnsi="Times New Roman" w:cs="Times New Roman"/>
          <w:bCs/>
          <w:sz w:val="28"/>
          <w:szCs w:val="28"/>
        </w:rPr>
        <w:t>Основным объектом рассматриваемого состава преступления выступают отношения в области обеспечения охраны труда, условий труда, отвечающих требованиям безопасности и гигиены. Дополнительным объектом являются жизнь и здоровье человека.</w:t>
      </w:r>
    </w:p>
    <w:p w14:paraId="246729F3" w14:textId="77777777" w:rsidR="00F742E3" w:rsidRPr="00F742E3" w:rsidRDefault="00F742E3" w:rsidP="00F742E3">
      <w:pPr>
        <w:spacing w:after="0" w:line="240" w:lineRule="auto"/>
        <w:ind w:firstLine="709"/>
        <w:jc w:val="both"/>
        <w:rPr>
          <w:rFonts w:ascii="Times New Roman" w:eastAsia="Calibri" w:hAnsi="Times New Roman" w:cs="Times New Roman"/>
          <w:bCs/>
          <w:sz w:val="28"/>
          <w:szCs w:val="28"/>
        </w:rPr>
      </w:pPr>
      <w:r w:rsidRPr="00F742E3">
        <w:rPr>
          <w:rFonts w:ascii="Times New Roman" w:eastAsia="Calibri" w:hAnsi="Times New Roman" w:cs="Times New Roman"/>
          <w:bCs/>
          <w:sz w:val="28"/>
          <w:szCs w:val="28"/>
        </w:rPr>
        <w:t>Уголовная ответственность по ст.143 УК РФ наступает только в случае нарушения требований охраны труда, которое выражается в неисполнении или ненадлежащем исполнении лицом обязанностей, установленных в нормативных правовых актах, что повлекло за собой наступление тяжких последствий для здоровья работников, а также их гибель.</w:t>
      </w:r>
    </w:p>
    <w:p w14:paraId="24C10634" w14:textId="77777777" w:rsidR="00F742E3" w:rsidRPr="00F742E3" w:rsidRDefault="00F742E3" w:rsidP="00F742E3">
      <w:pPr>
        <w:spacing w:after="0" w:line="240" w:lineRule="auto"/>
        <w:ind w:firstLine="709"/>
        <w:jc w:val="both"/>
        <w:rPr>
          <w:rFonts w:ascii="Times New Roman" w:eastAsia="Calibri" w:hAnsi="Times New Roman" w:cs="Times New Roman"/>
          <w:bCs/>
          <w:sz w:val="28"/>
          <w:szCs w:val="28"/>
        </w:rPr>
      </w:pPr>
      <w:r w:rsidRPr="00F742E3">
        <w:rPr>
          <w:rFonts w:ascii="Times New Roman" w:eastAsia="Calibri" w:hAnsi="Times New Roman" w:cs="Times New Roman"/>
          <w:bCs/>
          <w:sz w:val="28"/>
          <w:szCs w:val="28"/>
        </w:rPr>
        <w:t>Следует иметь в виду, что предусмотренная законом ответственность за нарушения требований охраны труда для лиц, обязанных обеспечивать соблюдение этих правил, наступает независимо от формы собственности предприятий, на которых они работают.</w:t>
      </w:r>
    </w:p>
    <w:p w14:paraId="1C17B1D7" w14:textId="77777777" w:rsidR="00F742E3" w:rsidRPr="00F742E3" w:rsidRDefault="00F742E3" w:rsidP="00F742E3">
      <w:pPr>
        <w:spacing w:after="0" w:line="240" w:lineRule="auto"/>
        <w:ind w:firstLine="709"/>
        <w:jc w:val="both"/>
        <w:rPr>
          <w:rFonts w:ascii="Times New Roman" w:eastAsia="Calibri" w:hAnsi="Times New Roman" w:cs="Times New Roman"/>
          <w:bCs/>
          <w:sz w:val="28"/>
          <w:szCs w:val="28"/>
        </w:rPr>
      </w:pPr>
      <w:r w:rsidRPr="00F742E3">
        <w:rPr>
          <w:rFonts w:ascii="Times New Roman" w:eastAsia="Calibri" w:hAnsi="Times New Roman" w:cs="Times New Roman"/>
          <w:bCs/>
          <w:sz w:val="28"/>
          <w:szCs w:val="28"/>
        </w:rPr>
        <w:t>Основным условием наступления ответственности по ст.143 УК РФ является наличие причинной связи между нарушением правил охраны труда и наступившими тяжкими последствиями.</w:t>
      </w:r>
    </w:p>
    <w:p w14:paraId="540E3A61" w14:textId="77777777" w:rsidR="00F742E3" w:rsidRPr="00F742E3" w:rsidRDefault="00F742E3" w:rsidP="00F742E3">
      <w:pPr>
        <w:spacing w:after="0" w:line="240" w:lineRule="auto"/>
        <w:ind w:firstLine="709"/>
        <w:jc w:val="both"/>
        <w:rPr>
          <w:rFonts w:ascii="Times New Roman" w:eastAsia="Calibri" w:hAnsi="Times New Roman" w:cs="Times New Roman"/>
          <w:bCs/>
          <w:sz w:val="28"/>
          <w:szCs w:val="28"/>
        </w:rPr>
      </w:pPr>
      <w:r w:rsidRPr="00F742E3">
        <w:rPr>
          <w:rFonts w:ascii="Times New Roman" w:eastAsia="Calibri" w:hAnsi="Times New Roman" w:cs="Times New Roman"/>
          <w:bCs/>
          <w:sz w:val="28"/>
          <w:szCs w:val="28"/>
        </w:rPr>
        <w:t>К уголовной ответственности за совершение данного деяния могут быть привлечены лица, на которых в силу их служебного положения или по специальному распоряжению непосредственно возложена обязанность обеспечивать соблюдение требований охраны труда на определенном участке работ, а также руководители предприятий и организаций, их заместители, главные инженеры, главные специалисты предприятий, если они не приняли мер к устранению заведомо известного им нарушения требований охраны труда либо дали указания, противоречащие этим правилам, или, взяв на себя непосредственное руководство отдельными видами работ, не обеспечили соблюдение тех же правил.</w:t>
      </w:r>
    </w:p>
    <w:p w14:paraId="40E27AB2" w14:textId="77777777" w:rsidR="00F742E3" w:rsidRPr="00F742E3" w:rsidRDefault="00F742E3" w:rsidP="00F742E3">
      <w:pPr>
        <w:spacing w:after="0" w:line="240" w:lineRule="auto"/>
        <w:ind w:firstLine="709"/>
        <w:jc w:val="both"/>
        <w:rPr>
          <w:rFonts w:ascii="Times New Roman" w:eastAsia="Calibri" w:hAnsi="Times New Roman" w:cs="Times New Roman"/>
          <w:bCs/>
          <w:sz w:val="28"/>
          <w:szCs w:val="28"/>
        </w:rPr>
      </w:pPr>
      <w:r w:rsidRPr="00F742E3">
        <w:rPr>
          <w:rFonts w:ascii="Times New Roman" w:eastAsia="Calibri" w:hAnsi="Times New Roman" w:cs="Times New Roman"/>
          <w:bCs/>
          <w:sz w:val="28"/>
          <w:szCs w:val="28"/>
        </w:rPr>
        <w:t>Санкцией данной статьи предусмотрено наказание для виновных лиц лишение свободы на срок до 5 лет с назначением дополнительного наказания в виде лишения права занимать определенные должности или заниматься определенной деятельностью на срок до 3 лет или без такового.</w:t>
      </w:r>
    </w:p>
    <w:p w14:paraId="12F098EB" w14:textId="7C0CD80A" w:rsidR="005F6F8F" w:rsidRPr="0081443C" w:rsidRDefault="00F742E3" w:rsidP="0081443C">
      <w:pPr>
        <w:spacing w:after="0" w:line="240" w:lineRule="auto"/>
        <w:ind w:firstLine="709"/>
        <w:jc w:val="both"/>
        <w:rPr>
          <w:rFonts w:ascii="Times New Roman" w:eastAsia="Times New Roman" w:hAnsi="Times New Roman" w:cs="Times New Roman"/>
          <w:sz w:val="28"/>
          <w:szCs w:val="28"/>
          <w:lang w:eastAsia="ru-RU"/>
        </w:rPr>
      </w:pPr>
      <w:r w:rsidRPr="00F742E3">
        <w:rPr>
          <w:rFonts w:ascii="Times New Roman" w:eastAsia="Times New Roman" w:hAnsi="Times New Roman" w:cs="Times New Roman"/>
          <w:sz w:val="28"/>
          <w:szCs w:val="28"/>
          <w:lang w:eastAsia="ru-RU"/>
        </w:rPr>
        <w:t>Разъяснение подготовил помощник прокурора г. Стерлитамака          Федоров М.Н.</w:t>
      </w:r>
      <w:bookmarkStart w:id="0" w:name="_GoBack"/>
      <w:bookmarkEnd w:id="0"/>
    </w:p>
    <w:sectPr w:rsidR="005F6F8F" w:rsidRPr="0081443C" w:rsidSect="007106D4">
      <w:headerReference w:type="default" r:id="rId7"/>
      <w:footerReference w:type="first" r:id="rId8"/>
      <w:pgSz w:w="11906" w:h="16838" w:code="9"/>
      <w:pgMar w:top="567"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9F11E6" w14:textId="77777777" w:rsidR="00E2591D" w:rsidRDefault="00E2591D" w:rsidP="00337B0C">
      <w:r>
        <w:separator/>
      </w:r>
    </w:p>
  </w:endnote>
  <w:endnote w:type="continuationSeparator" w:id="0">
    <w:p w14:paraId="384CDA9B" w14:textId="77777777" w:rsidR="00E2591D" w:rsidRDefault="00E2591D" w:rsidP="00337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vertAnchor="page" w:horzAnchor="margin" w:tblpXSpec="right" w:tblpYSpec="outside"/>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28" w:type="dxa"/>
        <w:left w:w="28" w:type="dxa"/>
        <w:bottom w:w="28" w:type="dxa"/>
        <w:right w:w="28" w:type="dxa"/>
      </w:tblCellMar>
      <w:tblLook w:val="04A0" w:firstRow="1" w:lastRow="0" w:firstColumn="1" w:lastColumn="0" w:noHBand="0" w:noVBand="1"/>
    </w:tblPr>
    <w:tblGrid>
      <w:gridCol w:w="3643"/>
    </w:tblGrid>
    <w:tr w:rsidR="00484BA9" w:rsidRPr="00484BA9" w14:paraId="00D01F8B" w14:textId="77777777" w:rsidTr="00F441E6">
      <w:trPr>
        <w:cantSplit/>
        <w:trHeight w:val="57"/>
      </w:trPr>
      <w:tc>
        <w:tcPr>
          <w:tcW w:w="3643" w:type="dxa"/>
        </w:tcPr>
        <w:p w14:paraId="49E01AD6" w14:textId="77777777" w:rsidR="00484BA9" w:rsidRPr="00484BA9" w:rsidRDefault="00484BA9" w:rsidP="00484BA9">
          <w:pPr>
            <w:spacing w:after="60" w:line="240" w:lineRule="auto"/>
            <w:jc w:val="center"/>
            <w:rPr>
              <w:rFonts w:ascii="Times New Roman" w:eastAsia="Calibri" w:hAnsi="Times New Roman" w:cs="Times New Roman"/>
              <w:sz w:val="16"/>
              <w:szCs w:val="16"/>
            </w:rPr>
          </w:pPr>
          <w:bookmarkStart w:id="1" w:name="SIGNERORG1"/>
          <w:r w:rsidRPr="00484BA9">
            <w:rPr>
              <w:rFonts w:ascii="Times New Roman" w:eastAsia="Calibri" w:hAnsi="Times New Roman" w:cs="Times New Roman"/>
              <w:sz w:val="16"/>
              <w:szCs w:val="16"/>
            </w:rPr>
            <w:t>организация</w:t>
          </w:r>
          <w:bookmarkEnd w:id="1"/>
        </w:p>
        <w:p w14:paraId="3572666C" w14:textId="77777777" w:rsidR="00484BA9" w:rsidRPr="00484BA9" w:rsidRDefault="00484BA9" w:rsidP="00484BA9">
          <w:pPr>
            <w:spacing w:after="60" w:line="240" w:lineRule="auto"/>
            <w:jc w:val="center"/>
            <w:rPr>
              <w:rFonts w:ascii="Times New Roman" w:eastAsia="Calibri" w:hAnsi="Times New Roman" w:cs="Times New Roman"/>
              <w:sz w:val="16"/>
              <w:szCs w:val="16"/>
            </w:rPr>
          </w:pPr>
          <w:r w:rsidRPr="00484BA9">
            <w:rPr>
              <w:rFonts w:ascii="Times New Roman" w:eastAsia="Calibri" w:hAnsi="Times New Roman" w:cs="Times New Roman"/>
              <w:sz w:val="16"/>
              <w:szCs w:val="16"/>
            </w:rPr>
            <w:t xml:space="preserve">№ </w:t>
          </w:r>
          <w:bookmarkStart w:id="2" w:name="REGNUMSTAMP"/>
          <w:r w:rsidRPr="00484BA9">
            <w:rPr>
              <w:rFonts w:ascii="Times New Roman" w:eastAsia="Calibri" w:hAnsi="Times New Roman" w:cs="Times New Roman"/>
              <w:color w:val="BFBFBF"/>
              <w:sz w:val="16"/>
              <w:szCs w:val="16"/>
            </w:rPr>
            <w:t>рег.номер</w:t>
          </w:r>
          <w:bookmarkEnd w:id="2"/>
        </w:p>
      </w:tc>
    </w:tr>
  </w:tbl>
  <w:p w14:paraId="4B56D6F6" w14:textId="77777777" w:rsidR="00484BA9" w:rsidRDefault="00484BA9">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02E446" w14:textId="77777777" w:rsidR="00E2591D" w:rsidRDefault="00E2591D" w:rsidP="00337B0C">
      <w:r>
        <w:separator/>
      </w:r>
    </w:p>
  </w:footnote>
  <w:footnote w:type="continuationSeparator" w:id="0">
    <w:p w14:paraId="0AF47B20" w14:textId="77777777" w:rsidR="00E2591D" w:rsidRDefault="00E2591D" w:rsidP="00337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983076"/>
      <w:docPartObj>
        <w:docPartGallery w:val="Page Numbers (Top of Page)"/>
        <w:docPartUnique/>
      </w:docPartObj>
    </w:sdtPr>
    <w:sdtEndPr/>
    <w:sdtContent>
      <w:p w14:paraId="016F7DF2" w14:textId="77777777" w:rsidR="00337B0C" w:rsidRDefault="00337B0C">
        <w:pPr>
          <w:pStyle w:val="ab"/>
          <w:jc w:val="center"/>
        </w:pPr>
        <w:r>
          <w:fldChar w:fldCharType="begin"/>
        </w:r>
        <w:r>
          <w:instrText>PAGE   \* MERGEFORMAT</w:instrText>
        </w:r>
        <w:r>
          <w:fldChar w:fldCharType="separate"/>
        </w:r>
        <w:r>
          <w:rPr>
            <w:noProof/>
          </w:rPr>
          <w:t>1</w:t>
        </w:r>
        <w:r>
          <w:fldChar w:fldCharType="end"/>
        </w:r>
      </w:p>
    </w:sdtContent>
  </w:sdt>
  <w:p w14:paraId="2D3F70E0" w14:textId="77777777" w:rsidR="00337B0C" w:rsidRDefault="00337B0C">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C67"/>
    <w:rsid w:val="00030072"/>
    <w:rsid w:val="000533ED"/>
    <w:rsid w:val="00061E14"/>
    <w:rsid w:val="000D7F9C"/>
    <w:rsid w:val="00112D44"/>
    <w:rsid w:val="00141CBF"/>
    <w:rsid w:val="0014227F"/>
    <w:rsid w:val="00150D86"/>
    <w:rsid w:val="001D25FA"/>
    <w:rsid w:val="001E6BCD"/>
    <w:rsid w:val="001F406E"/>
    <w:rsid w:val="00221CAB"/>
    <w:rsid w:val="002223B8"/>
    <w:rsid w:val="0026009D"/>
    <w:rsid w:val="002C47B9"/>
    <w:rsid w:val="002F540B"/>
    <w:rsid w:val="00320CEB"/>
    <w:rsid w:val="00337B0C"/>
    <w:rsid w:val="003642DB"/>
    <w:rsid w:val="0037733B"/>
    <w:rsid w:val="00380DF4"/>
    <w:rsid w:val="003C096F"/>
    <w:rsid w:val="004047BF"/>
    <w:rsid w:val="004152CF"/>
    <w:rsid w:val="004705C7"/>
    <w:rsid w:val="00484BA9"/>
    <w:rsid w:val="00492A4F"/>
    <w:rsid w:val="004C25DC"/>
    <w:rsid w:val="00595EA4"/>
    <w:rsid w:val="005D00ED"/>
    <w:rsid w:val="005F6F8F"/>
    <w:rsid w:val="006A46D3"/>
    <w:rsid w:val="006D4F40"/>
    <w:rsid w:val="007106D4"/>
    <w:rsid w:val="00762449"/>
    <w:rsid w:val="007B647A"/>
    <w:rsid w:val="007C2B5D"/>
    <w:rsid w:val="00801A6C"/>
    <w:rsid w:val="00811B20"/>
    <w:rsid w:val="0081443C"/>
    <w:rsid w:val="008D5E61"/>
    <w:rsid w:val="0093599D"/>
    <w:rsid w:val="009413BA"/>
    <w:rsid w:val="009436E8"/>
    <w:rsid w:val="00980117"/>
    <w:rsid w:val="00993C7C"/>
    <w:rsid w:val="009A06AD"/>
    <w:rsid w:val="009F583C"/>
    <w:rsid w:val="00A15B68"/>
    <w:rsid w:val="00A245E6"/>
    <w:rsid w:val="00A3457F"/>
    <w:rsid w:val="00AD2281"/>
    <w:rsid w:val="00AD36C1"/>
    <w:rsid w:val="00AE188B"/>
    <w:rsid w:val="00AE4D39"/>
    <w:rsid w:val="00AF1FD8"/>
    <w:rsid w:val="00B406B6"/>
    <w:rsid w:val="00B4391F"/>
    <w:rsid w:val="00B92725"/>
    <w:rsid w:val="00C02C27"/>
    <w:rsid w:val="00C0749C"/>
    <w:rsid w:val="00C155DF"/>
    <w:rsid w:val="00C243E8"/>
    <w:rsid w:val="00C303FE"/>
    <w:rsid w:val="00C71DDB"/>
    <w:rsid w:val="00C93C84"/>
    <w:rsid w:val="00C9469C"/>
    <w:rsid w:val="00C975CB"/>
    <w:rsid w:val="00D04C66"/>
    <w:rsid w:val="00D15CC4"/>
    <w:rsid w:val="00D25843"/>
    <w:rsid w:val="00D73B95"/>
    <w:rsid w:val="00DC3243"/>
    <w:rsid w:val="00E2591D"/>
    <w:rsid w:val="00E86C67"/>
    <w:rsid w:val="00EA43D3"/>
    <w:rsid w:val="00F60133"/>
    <w:rsid w:val="00F742E3"/>
    <w:rsid w:val="00F842CA"/>
    <w:rsid w:val="00F84539"/>
    <w:rsid w:val="00FE5989"/>
    <w:rsid w:val="00FF28F1"/>
    <w:rsid w:val="00FF69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9FA4F"/>
  <w15:chartTrackingRefBased/>
  <w15:docId w15:val="{2583D58B-12B2-463B-B58E-5B45631FB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647A"/>
    <w:pPr>
      <w:spacing w:after="160" w:line="259" w:lineRule="auto"/>
      <w:jc w:val="left"/>
    </w:pPr>
    <w:rPr>
      <w:rFonts w:asciiTheme="minorHAnsi" w:hAnsiTheme="minorHAns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КрСтр"/>
    <w:basedOn w:val="a"/>
    <w:link w:val="a4"/>
    <w:qFormat/>
    <w:rsid w:val="00AD36C1"/>
    <w:pPr>
      <w:spacing w:after="0" w:line="240" w:lineRule="auto"/>
      <w:ind w:firstLine="709"/>
      <w:jc w:val="both"/>
    </w:pPr>
    <w:rPr>
      <w:rFonts w:ascii="Times New Roman" w:hAnsi="Times New Roman"/>
      <w:sz w:val="28"/>
    </w:rPr>
  </w:style>
  <w:style w:type="character" w:customStyle="1" w:styleId="a4">
    <w:name w:val="А)КрСтр Знак"/>
    <w:basedOn w:val="a0"/>
    <w:link w:val="a3"/>
    <w:rsid w:val="00AD36C1"/>
  </w:style>
  <w:style w:type="paragraph" w:customStyle="1" w:styleId="a5">
    <w:name w:val="Б)ШапТочн"/>
    <w:basedOn w:val="a"/>
    <w:link w:val="a6"/>
    <w:qFormat/>
    <w:rsid w:val="00112D44"/>
    <w:pPr>
      <w:spacing w:after="0" w:line="240" w:lineRule="exact"/>
      <w:ind w:left="4820"/>
      <w:jc w:val="both"/>
    </w:pPr>
    <w:rPr>
      <w:rFonts w:ascii="Times New Roman" w:hAnsi="Times New Roman"/>
      <w:sz w:val="28"/>
    </w:rPr>
  </w:style>
  <w:style w:type="character" w:customStyle="1" w:styleId="a6">
    <w:name w:val="Б)ШапТочн Знак"/>
    <w:basedOn w:val="a0"/>
    <w:link w:val="a5"/>
    <w:rsid w:val="00112D44"/>
  </w:style>
  <w:style w:type="paragraph" w:customStyle="1" w:styleId="a7">
    <w:name w:val="В)ЦентТочн"/>
    <w:basedOn w:val="a"/>
    <w:link w:val="a8"/>
    <w:qFormat/>
    <w:rsid w:val="00112D44"/>
    <w:pPr>
      <w:spacing w:after="0" w:line="240" w:lineRule="exact"/>
      <w:jc w:val="center"/>
    </w:pPr>
    <w:rPr>
      <w:rFonts w:ascii="Times New Roman" w:hAnsi="Times New Roman"/>
      <w:sz w:val="28"/>
    </w:rPr>
  </w:style>
  <w:style w:type="character" w:customStyle="1" w:styleId="a8">
    <w:name w:val="В)ЦентТочн Знак"/>
    <w:basedOn w:val="a0"/>
    <w:link w:val="a7"/>
    <w:rsid w:val="00112D44"/>
  </w:style>
  <w:style w:type="paragraph" w:customStyle="1" w:styleId="a9">
    <w:name w:val="Г)ПодпТочн"/>
    <w:basedOn w:val="a"/>
    <w:link w:val="aa"/>
    <w:qFormat/>
    <w:rsid w:val="00112D44"/>
    <w:pPr>
      <w:spacing w:after="0" w:line="240" w:lineRule="exact"/>
      <w:jc w:val="both"/>
    </w:pPr>
    <w:rPr>
      <w:rFonts w:ascii="Times New Roman" w:hAnsi="Times New Roman"/>
      <w:sz w:val="28"/>
    </w:rPr>
  </w:style>
  <w:style w:type="character" w:customStyle="1" w:styleId="aa">
    <w:name w:val="Г)ПодпТочн Знак"/>
    <w:basedOn w:val="a0"/>
    <w:link w:val="a9"/>
    <w:rsid w:val="00112D44"/>
  </w:style>
  <w:style w:type="paragraph" w:styleId="ab">
    <w:name w:val="header"/>
    <w:basedOn w:val="a"/>
    <w:link w:val="ac"/>
    <w:uiPriority w:val="99"/>
    <w:unhideWhenUsed/>
    <w:rsid w:val="00337B0C"/>
    <w:pPr>
      <w:tabs>
        <w:tab w:val="center" w:pos="4677"/>
        <w:tab w:val="right" w:pos="9355"/>
      </w:tabs>
      <w:spacing w:after="0" w:line="240" w:lineRule="auto"/>
      <w:jc w:val="both"/>
    </w:pPr>
    <w:rPr>
      <w:rFonts w:ascii="Times New Roman" w:hAnsi="Times New Roman"/>
      <w:sz w:val="28"/>
    </w:rPr>
  </w:style>
  <w:style w:type="character" w:customStyle="1" w:styleId="ac">
    <w:name w:val="Верхний колонтитул Знак"/>
    <w:basedOn w:val="a0"/>
    <w:link w:val="ab"/>
    <w:uiPriority w:val="99"/>
    <w:rsid w:val="00337B0C"/>
  </w:style>
  <w:style w:type="paragraph" w:styleId="ad">
    <w:name w:val="footer"/>
    <w:basedOn w:val="a"/>
    <w:link w:val="ae"/>
    <w:uiPriority w:val="99"/>
    <w:unhideWhenUsed/>
    <w:rsid w:val="00337B0C"/>
    <w:pPr>
      <w:tabs>
        <w:tab w:val="center" w:pos="4677"/>
        <w:tab w:val="right" w:pos="9355"/>
      </w:tabs>
      <w:spacing w:after="0" w:line="240" w:lineRule="auto"/>
      <w:jc w:val="both"/>
    </w:pPr>
    <w:rPr>
      <w:rFonts w:ascii="Times New Roman" w:hAnsi="Times New Roman"/>
      <w:sz w:val="28"/>
    </w:rPr>
  </w:style>
  <w:style w:type="character" w:customStyle="1" w:styleId="ae">
    <w:name w:val="Нижний колонтитул Знак"/>
    <w:basedOn w:val="a0"/>
    <w:link w:val="ad"/>
    <w:uiPriority w:val="99"/>
    <w:rsid w:val="00337B0C"/>
  </w:style>
  <w:style w:type="table" w:styleId="af">
    <w:name w:val="Table Grid"/>
    <w:basedOn w:val="a1"/>
    <w:uiPriority w:val="39"/>
    <w:rsid w:val="00E86C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D15CC4"/>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D15C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4829878">
      <w:bodyDiv w:val="1"/>
      <w:marLeft w:val="0"/>
      <w:marRight w:val="0"/>
      <w:marTop w:val="0"/>
      <w:marBottom w:val="0"/>
      <w:divBdr>
        <w:top w:val="none" w:sz="0" w:space="0" w:color="auto"/>
        <w:left w:val="none" w:sz="0" w:space="0" w:color="auto"/>
        <w:bottom w:val="none" w:sz="0" w:space="0" w:color="auto"/>
        <w:right w:val="none" w:sz="0" w:space="0" w:color="auto"/>
      </w:divBdr>
    </w:div>
    <w:div w:id="846746478">
      <w:bodyDiv w:val="1"/>
      <w:marLeft w:val="0"/>
      <w:marRight w:val="0"/>
      <w:marTop w:val="0"/>
      <w:marBottom w:val="0"/>
      <w:divBdr>
        <w:top w:val="none" w:sz="0" w:space="0" w:color="auto"/>
        <w:left w:val="none" w:sz="0" w:space="0" w:color="auto"/>
        <w:bottom w:val="none" w:sz="0" w:space="0" w:color="auto"/>
        <w:right w:val="none" w:sz="0" w:space="0" w:color="auto"/>
      </w:divBdr>
    </w:div>
    <w:div w:id="907690005">
      <w:bodyDiv w:val="1"/>
      <w:marLeft w:val="0"/>
      <w:marRight w:val="0"/>
      <w:marTop w:val="0"/>
      <w:marBottom w:val="0"/>
      <w:divBdr>
        <w:top w:val="none" w:sz="0" w:space="0" w:color="auto"/>
        <w:left w:val="none" w:sz="0" w:space="0" w:color="auto"/>
        <w:bottom w:val="none" w:sz="0" w:space="0" w:color="auto"/>
        <w:right w:val="none" w:sz="0" w:space="0" w:color="auto"/>
      </w:divBdr>
    </w:div>
    <w:div w:id="1567956719">
      <w:bodyDiv w:val="1"/>
      <w:marLeft w:val="0"/>
      <w:marRight w:val="0"/>
      <w:marTop w:val="0"/>
      <w:marBottom w:val="0"/>
      <w:divBdr>
        <w:top w:val="none" w:sz="0" w:space="0" w:color="auto"/>
        <w:left w:val="none" w:sz="0" w:space="0" w:color="auto"/>
        <w:bottom w:val="none" w:sz="0" w:space="0" w:color="auto"/>
        <w:right w:val="none" w:sz="0" w:space="0" w:color="auto"/>
      </w:divBdr>
    </w:div>
    <w:div w:id="172490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84625-AB6A-4365-BC04-0470B3543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417</Words>
  <Characters>2380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Ризванов Ильнур Ильдарович</dc:creator>
  <cp:keywords/>
  <dc:description/>
  <cp:lastModifiedBy>Валентина А. Насонова</cp:lastModifiedBy>
  <cp:revision>20</cp:revision>
  <cp:lastPrinted>2023-09-27T05:37:00Z</cp:lastPrinted>
  <dcterms:created xsi:type="dcterms:W3CDTF">2022-07-26T15:44:00Z</dcterms:created>
  <dcterms:modified xsi:type="dcterms:W3CDTF">2024-06-07T13:19:00Z</dcterms:modified>
</cp:coreProperties>
</file>