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  <w:bookmarkStart w:id="0" w:name="_GoBack"/>
      <w:bookmarkEnd w:id="0"/>
    </w:p>
    <w:p w:rsidR="00450785" w:rsidRPr="00450785" w:rsidRDefault="00450785" w:rsidP="00450785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  <w:r w:rsidRPr="00450785">
        <w:rPr>
          <w:b/>
          <w:sz w:val="28"/>
        </w:rPr>
        <w:t>Новые полномочия сотрудников войск национальной гвардии.</w:t>
      </w:r>
    </w:p>
    <w:p w:rsidR="00450785" w:rsidRP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450785" w:rsidRP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  <w:r>
        <w:rPr>
          <w:sz w:val="28"/>
        </w:rPr>
        <w:t>С 22 октября 2018 года д</w:t>
      </w:r>
      <w:r w:rsidRPr="00450785">
        <w:rPr>
          <w:sz w:val="28"/>
        </w:rPr>
        <w:t>олжностные лица войск национальной гвардии наделяются правом по рассмотрению дел об административных правонарушениях, связанных с оборотом оружия и боеприпасов, в случае возбуждения ими таких дел.</w:t>
      </w:r>
    </w:p>
    <w:p w:rsidR="00450785" w:rsidRPr="00450785" w:rsidRDefault="00450785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450785">
        <w:rPr>
          <w:sz w:val="28"/>
        </w:rPr>
        <w:t>Кроме того, войска национальной гвардии РФ наделяются правом доставления плавучих средств (судов) и орудий совершения административного правонарушения.</w:t>
      </w:r>
    </w:p>
    <w:p w:rsidR="00450785" w:rsidRDefault="00450785" w:rsidP="00B6455D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proofErr w:type="spellStart"/>
      <w:r w:rsidR="00450785">
        <w:rPr>
          <w:sz w:val="28"/>
        </w:rPr>
        <w:t>Фатхлисламов</w:t>
      </w:r>
      <w:proofErr w:type="spellEnd"/>
      <w:r w:rsidR="00450785">
        <w:rPr>
          <w:sz w:val="28"/>
        </w:rPr>
        <w:t xml:space="preserve"> Д.З.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3D7345"/>
    <w:rsid w:val="004346E8"/>
    <w:rsid w:val="00450785"/>
    <w:rsid w:val="004D061F"/>
    <w:rsid w:val="00AD7099"/>
    <w:rsid w:val="00B6455D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2018-12-20T14:21:00Z</dcterms:created>
  <dcterms:modified xsi:type="dcterms:W3CDTF">2018-12-20T14:21:00Z</dcterms:modified>
</cp:coreProperties>
</file>