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96" w:rsidRDefault="00CD1A96" w:rsidP="00CD1A96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CD1A96">
        <w:rPr>
          <w:b/>
          <w:sz w:val="28"/>
          <w:szCs w:val="28"/>
        </w:rPr>
        <w:t>Принят закон о льготах для лиц, осуществляющих пожертвования государственным и муниципальным учреждениям культуры.</w:t>
      </w:r>
    </w:p>
    <w:p w:rsidR="00CD1A96" w:rsidRPr="00CD1A96" w:rsidRDefault="00CD1A96" w:rsidP="00CD1A96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CD1A96" w:rsidRPr="00CD1A96" w:rsidRDefault="00CD1A96" w:rsidP="00CD1A9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D1A96">
        <w:rPr>
          <w:sz w:val="28"/>
          <w:szCs w:val="28"/>
        </w:rPr>
        <w:t>В случае осуществления пожертвований учреждениям культуры и некоммерческим организациям, осуществляющим деятельность в области культуры, законами субъектов РФ предельный размер социального налогового вычета по НДФЛ может быть увеличен с 25 до 30 процентов суммы дохода, подлежащего налогообложению.</w:t>
      </w:r>
    </w:p>
    <w:p w:rsidR="00CD1A96" w:rsidRPr="00CD1A96" w:rsidRDefault="00CD1A96" w:rsidP="00CD1A9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D1A96">
        <w:rPr>
          <w:sz w:val="28"/>
          <w:szCs w:val="28"/>
        </w:rPr>
        <w:t>Для организаций предусматривается возможность уменьшения налога на прибыль на сумму инвестиционного налогового вычета в сумме расходов в виде пожертвований. Размер такого вычета не должен быть более 100% суммы расходов на пожертвования, перечисленной указанным выше организациям.</w:t>
      </w:r>
    </w:p>
    <w:p w:rsidR="00CD1A96" w:rsidRPr="00CD1A96" w:rsidRDefault="00CD1A96" w:rsidP="00CD1A9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D1A96">
        <w:rPr>
          <w:sz w:val="28"/>
          <w:szCs w:val="28"/>
        </w:rPr>
        <w:t>Право на применение инвестиционного налогового вычета, предельные суммы расходов на пожертвования и категории учреждений культуры и некоммерческих организаций (фондов), пожертвования которым учитываются при определении вычета, устанавливаются законами субъектов РФ.</w:t>
      </w:r>
    </w:p>
    <w:p w:rsidR="00CD1A96" w:rsidRPr="00CD1A96" w:rsidRDefault="00CD1A96" w:rsidP="00CD1A9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D1A96">
        <w:rPr>
          <w:sz w:val="28"/>
          <w:szCs w:val="28"/>
        </w:rPr>
        <w:t xml:space="preserve">Федеральный закон опубликован на </w:t>
      </w:r>
      <w:proofErr w:type="gramStart"/>
      <w:r w:rsidRPr="00CD1A96">
        <w:rPr>
          <w:sz w:val="28"/>
          <w:szCs w:val="28"/>
        </w:rPr>
        <w:t>Интернет-портале</w:t>
      </w:r>
      <w:proofErr w:type="gramEnd"/>
      <w:r w:rsidRPr="00CD1A96">
        <w:rPr>
          <w:sz w:val="28"/>
          <w:szCs w:val="28"/>
        </w:rPr>
        <w:t xml:space="preserve"> правовой информации 27.11.2018, вступает в силу с 01.01.2019.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CD1A96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П</w:t>
      </w:r>
      <w:r w:rsidR="00B6455D">
        <w:rPr>
          <w:sz w:val="28"/>
        </w:rPr>
        <w:t xml:space="preserve">омощник прокурора                                           </w:t>
      </w:r>
      <w:r w:rsidR="00717264">
        <w:rPr>
          <w:sz w:val="28"/>
        </w:rPr>
        <w:t xml:space="preserve">             </w:t>
      </w:r>
      <w:r>
        <w:rPr>
          <w:sz w:val="28"/>
        </w:rPr>
        <w:t xml:space="preserve">                 </w:t>
      </w:r>
      <w:bookmarkStart w:id="0" w:name="_GoBack"/>
      <w:bookmarkEnd w:id="0"/>
      <w:r w:rsidR="00717264">
        <w:rPr>
          <w:sz w:val="28"/>
        </w:rPr>
        <w:t xml:space="preserve">   </w:t>
      </w:r>
      <w:r>
        <w:rPr>
          <w:sz w:val="28"/>
        </w:rPr>
        <w:t>В.М. Юлдашев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2179"/>
    <w:rsid w:val="004346E8"/>
    <w:rsid w:val="00442D13"/>
    <w:rsid w:val="00450785"/>
    <w:rsid w:val="004D061F"/>
    <w:rsid w:val="00717264"/>
    <w:rsid w:val="00AD7099"/>
    <w:rsid w:val="00B6455D"/>
    <w:rsid w:val="00CD1A96"/>
    <w:rsid w:val="00E1464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2018-12-20T15:12:00Z</dcterms:created>
  <dcterms:modified xsi:type="dcterms:W3CDTF">2018-12-20T15:12:00Z</dcterms:modified>
</cp:coreProperties>
</file>